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44"/>
          <w:szCs w:val="36"/>
        </w:rPr>
      </w:pPr>
    </w:p>
    <w:p>
      <w:pPr>
        <w:spacing w:beforeLines="50" w:afterLines="50"/>
        <w:jc w:val="center"/>
        <w:rPr>
          <w:rFonts w:ascii="黑体" w:hAnsi="黑体" w:eastAsia="黑体"/>
          <w:spacing w:val="40"/>
          <w:sz w:val="36"/>
          <w:szCs w:val="36"/>
        </w:rPr>
      </w:pPr>
      <w:r>
        <w:rPr>
          <w:rFonts w:hint="eastAsia" w:ascii="黑体" w:hAnsi="黑体" w:eastAsia="黑体"/>
          <w:spacing w:val="40"/>
          <w:sz w:val="44"/>
          <w:szCs w:val="36"/>
        </w:rPr>
        <w:t>呼和浩特市推荐性</w:t>
      </w:r>
      <w:r>
        <w:rPr>
          <w:rFonts w:ascii="黑体" w:hAnsi="黑体" w:eastAsia="黑体"/>
          <w:spacing w:val="40"/>
          <w:sz w:val="44"/>
          <w:szCs w:val="36"/>
        </w:rPr>
        <w:t>地方标准</w:t>
      </w:r>
    </w:p>
    <w:p>
      <w:pPr>
        <w:spacing w:beforeLines="50" w:afterLines="50"/>
        <w:jc w:val="center"/>
        <w:rPr>
          <w:rFonts w:ascii="黑体" w:hAnsi="黑体" w:eastAsia="黑体"/>
          <w:sz w:val="36"/>
          <w:szCs w:val="36"/>
        </w:rPr>
      </w:pPr>
    </w:p>
    <w:p>
      <w:pPr>
        <w:spacing w:afterLines="100"/>
        <w:jc w:val="center"/>
        <w:rPr>
          <w:rFonts w:ascii="黑体" w:hAnsi="黑体" w:eastAsia="黑体"/>
          <w:spacing w:val="40"/>
          <w:sz w:val="44"/>
          <w:szCs w:val="36"/>
        </w:rPr>
      </w:pPr>
      <w:r>
        <w:rPr>
          <w:rFonts w:hint="eastAsia" w:ascii="黑体" w:hAnsi="黑体" w:eastAsia="黑体"/>
          <w:spacing w:val="40"/>
          <w:sz w:val="44"/>
          <w:szCs w:val="36"/>
        </w:rPr>
        <w:t>旅游气候适宜度指南</w:t>
      </w:r>
    </w:p>
    <w:p>
      <w:pPr>
        <w:spacing w:afterLines="100"/>
        <w:jc w:val="center"/>
        <w:rPr>
          <w:rFonts w:ascii="黑体" w:hAnsi="黑体" w:eastAsia="黑体"/>
          <w:sz w:val="24"/>
          <w:szCs w:val="36"/>
        </w:rPr>
      </w:pPr>
      <w:r>
        <w:rPr>
          <w:rFonts w:hint="eastAsia" w:ascii="黑体" w:hAnsi="黑体" w:eastAsia="黑体"/>
          <w:sz w:val="24"/>
          <w:szCs w:val="36"/>
        </w:rPr>
        <w:t>Climate Suitability Guide</w:t>
      </w:r>
      <w:r>
        <w:rPr>
          <w:rFonts w:hint="eastAsia" w:ascii="黑体" w:hAnsi="黑体" w:eastAsia="黑体"/>
          <w:sz w:val="24"/>
          <w:szCs w:val="36"/>
          <w:lang w:val="en-US" w:eastAsia="zh-CN"/>
        </w:rPr>
        <w:t xml:space="preserve"> </w:t>
      </w:r>
      <w:r>
        <w:rPr>
          <w:rFonts w:hint="eastAsia" w:ascii="黑体" w:hAnsi="黑体" w:eastAsia="黑体"/>
          <w:sz w:val="24"/>
          <w:szCs w:val="36"/>
        </w:rPr>
        <w:t>of</w:t>
      </w:r>
      <w:r>
        <w:rPr>
          <w:rFonts w:hint="eastAsia" w:ascii="黑体" w:hAnsi="黑体" w:eastAsia="黑体"/>
          <w:sz w:val="24"/>
          <w:szCs w:val="36"/>
          <w:lang w:val="en-US" w:eastAsia="zh-CN"/>
        </w:rPr>
        <w:t xml:space="preserve"> </w:t>
      </w:r>
      <w:r>
        <w:rPr>
          <w:rFonts w:hint="eastAsia" w:ascii="黑体" w:hAnsi="黑体" w:eastAsia="黑体"/>
          <w:sz w:val="24"/>
          <w:szCs w:val="36"/>
        </w:rPr>
        <w:t>Tourism</w:t>
      </w:r>
    </w:p>
    <w:p>
      <w:pPr>
        <w:spacing w:afterLines="100"/>
        <w:jc w:val="center"/>
        <w:rPr>
          <w:rFonts w:ascii="黑体" w:hAnsi="黑体" w:eastAsia="黑体"/>
          <w:sz w:val="24"/>
          <w:szCs w:val="36"/>
        </w:rPr>
      </w:pPr>
    </w:p>
    <w:p>
      <w:pPr>
        <w:spacing w:afterLines="100"/>
        <w:jc w:val="center"/>
        <w:rPr>
          <w:rFonts w:ascii="黑体" w:hAnsi="黑体" w:eastAsia="黑体"/>
          <w:sz w:val="24"/>
          <w:szCs w:val="36"/>
        </w:rPr>
      </w:pPr>
    </w:p>
    <w:p>
      <w:pPr>
        <w:spacing w:afterLines="100"/>
        <w:jc w:val="center"/>
        <w:rPr>
          <w:rFonts w:ascii="黑体" w:hAnsi="黑体" w:eastAsia="黑体"/>
          <w:sz w:val="36"/>
          <w:szCs w:val="36"/>
        </w:rPr>
      </w:pPr>
    </w:p>
    <w:p>
      <w:pPr>
        <w:spacing w:afterLines="100"/>
        <w:jc w:val="center"/>
        <w:rPr>
          <w:rFonts w:ascii="黑体" w:hAnsi="黑体" w:eastAsia="黑体"/>
          <w:sz w:val="36"/>
          <w:szCs w:val="36"/>
        </w:rPr>
      </w:pPr>
    </w:p>
    <w:p>
      <w:pPr>
        <w:spacing w:afterLines="100"/>
        <w:jc w:val="center"/>
        <w:rPr>
          <w:rFonts w:ascii="黑体" w:hAnsi="黑体" w:eastAsia="黑体"/>
          <w:spacing w:val="200"/>
          <w:sz w:val="44"/>
          <w:szCs w:val="36"/>
        </w:rPr>
      </w:pPr>
      <w:r>
        <w:rPr>
          <w:rFonts w:ascii="黑体" w:hAnsi="黑体" w:eastAsia="黑体"/>
          <w:spacing w:val="200"/>
          <w:sz w:val="52"/>
          <w:szCs w:val="36"/>
        </w:rPr>
        <w:t>编制说</w:t>
      </w:r>
      <w:r>
        <w:rPr>
          <w:rFonts w:ascii="黑体" w:hAnsi="黑体" w:eastAsia="黑体"/>
          <w:sz w:val="52"/>
          <w:szCs w:val="36"/>
        </w:rPr>
        <w:t>明</w:t>
      </w:r>
    </w:p>
    <w:p>
      <w:pPr>
        <w:spacing w:afterLines="100"/>
        <w:jc w:val="center"/>
        <w:rPr>
          <w:rFonts w:ascii="黑体" w:hAnsi="黑体" w:eastAsia="黑体"/>
          <w:sz w:val="44"/>
          <w:szCs w:val="36"/>
        </w:rPr>
      </w:pPr>
    </w:p>
    <w:p>
      <w:pPr>
        <w:spacing w:afterLines="100"/>
        <w:jc w:val="center"/>
        <w:rPr>
          <w:rFonts w:ascii="黑体" w:hAnsi="黑体" w:eastAsia="黑体"/>
          <w:sz w:val="44"/>
          <w:szCs w:val="36"/>
        </w:rPr>
      </w:pPr>
    </w:p>
    <w:p>
      <w:pPr>
        <w:spacing w:afterLines="100"/>
        <w:jc w:val="center"/>
        <w:rPr>
          <w:rFonts w:ascii="黑体" w:hAnsi="黑体" w:eastAsia="黑体"/>
          <w:sz w:val="44"/>
          <w:szCs w:val="36"/>
        </w:rPr>
      </w:pPr>
    </w:p>
    <w:p>
      <w:pPr>
        <w:spacing w:afterLines="100"/>
        <w:jc w:val="center"/>
        <w:rPr>
          <w:rFonts w:ascii="黑体" w:hAnsi="黑体" w:eastAsia="黑体"/>
          <w:sz w:val="44"/>
          <w:szCs w:val="36"/>
        </w:rPr>
      </w:pPr>
    </w:p>
    <w:p>
      <w:pPr>
        <w:spacing w:afterLines="100"/>
        <w:jc w:val="center"/>
        <w:rPr>
          <w:rFonts w:ascii="黑体" w:hAnsi="黑体" w:eastAsia="黑体"/>
          <w:sz w:val="32"/>
          <w:szCs w:val="32"/>
        </w:rPr>
      </w:pPr>
      <w:r>
        <w:rPr>
          <w:rFonts w:ascii="黑体" w:hAnsi="黑体" w:eastAsia="黑体"/>
          <w:sz w:val="32"/>
          <w:szCs w:val="32"/>
        </w:rPr>
        <w:t>主要起草单位</w:t>
      </w:r>
      <w:r>
        <w:rPr>
          <w:rFonts w:hint="eastAsia" w:ascii="黑体" w:hAnsi="黑体" w:eastAsia="黑体"/>
          <w:sz w:val="32"/>
          <w:szCs w:val="32"/>
        </w:rPr>
        <w:t>：呼和浩特市气象局</w:t>
      </w:r>
    </w:p>
    <w:p>
      <w:pPr>
        <w:spacing w:afterLines="100"/>
        <w:jc w:val="center"/>
        <w:rPr>
          <w:rFonts w:ascii="黑体" w:hAnsi="黑体" w:eastAsia="黑体"/>
          <w:sz w:val="32"/>
          <w:szCs w:val="32"/>
        </w:rPr>
        <w:sectPr>
          <w:footerReference r:id="rId7" w:type="first"/>
          <w:headerReference r:id="rId3" w:type="default"/>
          <w:footerReference r:id="rId5" w:type="default"/>
          <w:headerReference r:id="rId4" w:type="even"/>
          <w:footerReference r:id="rId6" w:type="even"/>
          <w:pgSz w:w="11906" w:h="16838"/>
          <w:pgMar w:top="1440" w:right="1800" w:bottom="1440" w:left="1800" w:header="851" w:footer="992" w:gutter="0"/>
          <w:pgNumType w:fmt="decimal" w:start="1"/>
          <w:cols w:space="720" w:num="1"/>
          <w:titlePg/>
          <w:docGrid w:type="lines" w:linePitch="312" w:charSpace="0"/>
        </w:sectPr>
      </w:pPr>
    </w:p>
    <w:p>
      <w:pPr>
        <w:spacing w:beforeLines="50" w:afterLines="50"/>
        <w:jc w:val="center"/>
        <w:rPr>
          <w:rFonts w:ascii="黑体" w:hAnsi="黑体" w:eastAsia="黑体"/>
          <w:sz w:val="32"/>
          <w:szCs w:val="36"/>
        </w:rPr>
      </w:pPr>
      <w:r>
        <w:rPr>
          <w:rFonts w:hint="eastAsia" w:ascii="黑体" w:hAnsi="黑体" w:eastAsia="黑体"/>
          <w:spacing w:val="320"/>
          <w:sz w:val="32"/>
          <w:szCs w:val="36"/>
        </w:rPr>
        <w:t>目</w:t>
      </w:r>
      <w:r>
        <w:rPr>
          <w:rFonts w:hint="eastAsia" w:ascii="黑体" w:hAnsi="黑体" w:eastAsia="黑体"/>
          <w:sz w:val="32"/>
          <w:szCs w:val="36"/>
        </w:rPr>
        <w:t>录</w:t>
      </w:r>
    </w:p>
    <w:p>
      <w:pPr>
        <w:pStyle w:val="6"/>
        <w:tabs>
          <w:tab w:val="right" w:leader="dot" w:pos="8296"/>
        </w:tabs>
        <w:rPr>
          <w:rFonts w:asciiTheme="minorHAnsi" w:hAnsiTheme="minorHAnsi" w:eastAsiaTheme="minorEastAsia" w:cstheme="minorBidi"/>
          <w:szCs w:val="22"/>
        </w:rPr>
      </w:pPr>
      <w:r>
        <w:rPr>
          <w:rFonts w:ascii="宋体" w:hAnsi="宋体"/>
          <w:kern w:val="0"/>
          <w:szCs w:val="21"/>
        </w:rPr>
        <w:fldChar w:fldCharType="begin"/>
      </w:r>
      <w:r>
        <w:rPr>
          <w:rFonts w:hint="eastAsia" w:ascii="宋体" w:hAnsi="宋体"/>
          <w:kern w:val="0"/>
          <w:szCs w:val="21"/>
        </w:rPr>
        <w:instrText xml:space="preserve">TOC \o "1-2" \h \z \u</w:instrText>
      </w:r>
      <w:r>
        <w:rPr>
          <w:rFonts w:ascii="宋体" w:hAnsi="宋体"/>
          <w:kern w:val="0"/>
          <w:szCs w:val="21"/>
        </w:rPr>
        <w:fldChar w:fldCharType="separate"/>
      </w:r>
      <w:r>
        <w:fldChar w:fldCharType="begin"/>
      </w:r>
      <w:r>
        <w:instrText xml:space="preserve"> HYPERLINK \l "_Toc62465132" </w:instrText>
      </w:r>
      <w:r>
        <w:fldChar w:fldCharType="separate"/>
      </w:r>
      <w:r>
        <w:rPr>
          <w:rStyle w:val="12"/>
          <w:rFonts w:ascii="黑体" w:eastAsia="黑体"/>
        </w:rPr>
        <w:t>一</w:t>
      </w:r>
      <w:r>
        <w:rPr>
          <w:rStyle w:val="12"/>
          <w:rFonts w:eastAsia="黑体"/>
        </w:rPr>
        <w:t xml:space="preserve"> 工作简介</w:t>
      </w:r>
      <w:r>
        <w:tab/>
      </w:r>
      <w:r>
        <w:fldChar w:fldCharType="begin"/>
      </w:r>
      <w:r>
        <w:instrText xml:space="preserve"> PAGEREF _Toc62465132 \h </w:instrText>
      </w:r>
      <w:r>
        <w:fldChar w:fldCharType="separate"/>
      </w:r>
      <w:r>
        <w:t>1</w:t>
      </w:r>
      <w:r>
        <w:fldChar w:fldCharType="end"/>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"_Toc62465133" </w:instrText>
      </w:r>
      <w:r>
        <w:fldChar w:fldCharType="separate"/>
      </w:r>
      <w:r>
        <w:rPr>
          <w:rStyle w:val="12"/>
          <w:rFonts w:ascii="黑体" w:eastAsia="黑体"/>
        </w:rPr>
        <w:t>二</w:t>
      </w:r>
      <w:r>
        <w:rPr>
          <w:rStyle w:val="12"/>
          <w:rFonts w:eastAsia="黑体"/>
        </w:rPr>
        <w:t xml:space="preserve"> 制定标准的必要性和意义</w:t>
      </w:r>
      <w:r>
        <w:tab/>
      </w:r>
      <w:r>
        <w:fldChar w:fldCharType="begin"/>
      </w:r>
      <w:r>
        <w:instrText xml:space="preserve"> PAGEREF _Toc62465133 \h </w:instrText>
      </w:r>
      <w:r>
        <w:fldChar w:fldCharType="separate"/>
      </w:r>
      <w:r>
        <w:t>1</w:t>
      </w:r>
      <w:r>
        <w:fldChar w:fldCharType="end"/>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"_Toc62465134" </w:instrText>
      </w:r>
      <w:r>
        <w:fldChar w:fldCharType="separate"/>
      </w:r>
      <w:r>
        <w:rPr>
          <w:rStyle w:val="12"/>
          <w:rFonts w:ascii="黑体" w:eastAsia="黑体"/>
        </w:rPr>
        <w:t>三</w:t>
      </w:r>
      <w:r>
        <w:rPr>
          <w:rStyle w:val="12"/>
          <w:rFonts w:eastAsia="黑体"/>
        </w:rPr>
        <w:t xml:space="preserve"> 主要起草过程</w:t>
      </w:r>
      <w:r>
        <w:tab/>
      </w:r>
      <w:r>
        <w:fldChar w:fldCharType="begin"/>
      </w:r>
      <w:r>
        <w:instrText xml:space="preserve"> PAGEREF _Toc62465134 \h </w:instrText>
      </w:r>
      <w:r>
        <w:fldChar w:fldCharType="separate"/>
      </w:r>
      <w:r>
        <w:t>2</w:t>
      </w:r>
      <w:r>
        <w:fldChar w:fldCharType="end"/>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"_Toc62465135" </w:instrText>
      </w:r>
      <w:r>
        <w:fldChar w:fldCharType="separate"/>
      </w:r>
      <w:r>
        <w:rPr>
          <w:rStyle w:val="12"/>
          <w:rFonts w:ascii="黑体" w:eastAsia="黑体"/>
        </w:rPr>
        <w:t>四</w:t>
      </w:r>
      <w:r>
        <w:rPr>
          <w:rStyle w:val="12"/>
          <w:rFonts w:eastAsia="黑体"/>
        </w:rPr>
        <w:t xml:space="preserve"> 制定标准的原则和依据，与现行法律、法规、标准的关系</w:t>
      </w:r>
      <w:r>
        <w:tab/>
      </w:r>
      <w:r>
        <w:rPr>
          <w:rFonts w:hint="eastAsia"/>
          <w:lang w:val="en-US" w:eastAsia="zh-CN"/>
        </w:rPr>
        <w:t>3</w:t>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"_Toc62465136" </w:instrText>
      </w:r>
      <w:r>
        <w:fldChar w:fldCharType="separate"/>
      </w:r>
      <w:r>
        <w:rPr>
          <w:rStyle w:val="12"/>
          <w:rFonts w:ascii="黑体" w:eastAsia="黑体"/>
        </w:rPr>
        <w:t>五</w:t>
      </w:r>
      <w:r>
        <w:rPr>
          <w:rStyle w:val="12"/>
          <w:rFonts w:eastAsia="黑体"/>
        </w:rPr>
        <w:t xml:space="preserve"> 主要条款说明、标准中主要技术指标、参数和试验验证的论述</w:t>
      </w:r>
      <w:r>
        <w:tab/>
      </w:r>
      <w:r>
        <w:rPr>
          <w:rFonts w:hint="eastAsia"/>
          <w:lang w:val="en-US" w:eastAsia="zh-CN"/>
        </w:rPr>
        <w:t>4</w:t>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"_Toc62465137" </w:instrText>
      </w:r>
      <w:r>
        <w:fldChar w:fldCharType="separate"/>
      </w:r>
      <w:r>
        <w:rPr>
          <w:rStyle w:val="12"/>
          <w:rFonts w:ascii="黑体" w:eastAsia="黑体"/>
        </w:rPr>
        <w:t>六</w:t>
      </w:r>
      <w:r>
        <w:rPr>
          <w:rStyle w:val="12"/>
          <w:rFonts w:eastAsia="黑体"/>
        </w:rPr>
        <w:t xml:space="preserve"> 重大意见分歧的处理依据和结果</w:t>
      </w:r>
      <w:r>
        <w:tab/>
      </w:r>
      <w:r>
        <w:rPr>
          <w:rFonts w:hint="eastAsia"/>
          <w:lang w:val="en-US" w:eastAsia="zh-CN"/>
        </w:rPr>
        <w:t>4</w:t>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"_Toc62465138" </w:instrText>
      </w:r>
      <w:r>
        <w:fldChar w:fldCharType="separate"/>
      </w:r>
      <w:r>
        <w:rPr>
          <w:rStyle w:val="12"/>
          <w:rFonts w:ascii="黑体" w:eastAsia="黑体"/>
        </w:rPr>
        <w:t>七</w:t>
      </w:r>
      <w:r>
        <w:rPr>
          <w:rStyle w:val="12"/>
          <w:rFonts w:eastAsia="黑体"/>
        </w:rPr>
        <w:t xml:space="preserve"> 采用国际标准或国外先进标准的，说明采标程度及国内外同类标准水平的对比情况</w:t>
      </w:r>
      <w:r>
        <w:tab/>
      </w:r>
      <w:r>
        <w:rPr>
          <w:rFonts w:hint="eastAsia"/>
          <w:lang w:val="en-US" w:eastAsia="zh-CN"/>
        </w:rPr>
        <w:t>4</w:t>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"_Toc62465139" </w:instrText>
      </w:r>
      <w:r>
        <w:fldChar w:fldCharType="separate"/>
      </w:r>
      <w:r>
        <w:rPr>
          <w:rStyle w:val="12"/>
          <w:rFonts w:ascii="黑体" w:eastAsia="黑体"/>
        </w:rPr>
        <w:t>八</w:t>
      </w:r>
      <w:r>
        <w:rPr>
          <w:rStyle w:val="12"/>
          <w:rFonts w:eastAsia="黑体"/>
        </w:rPr>
        <w:t xml:space="preserve"> 其他应说明的事项</w:t>
      </w:r>
      <w:r>
        <w:tab/>
      </w:r>
      <w:r>
        <w:rPr>
          <w:rFonts w:hint="eastAsia"/>
          <w:lang w:val="en-US" w:eastAsia="zh-CN"/>
        </w:rPr>
        <w:t>5</w:t>
      </w:r>
      <w:r>
        <w:fldChar w:fldCharType="end"/>
      </w:r>
    </w:p>
    <w:p>
      <w:pPr>
        <w:pStyle w:val="6"/>
        <w:tabs>
          <w:tab w:val="right" w:leader="dot" w:pos="8296"/>
        </w:tabs>
        <w:rPr>
          <w:rFonts w:asciiTheme="minorHAnsi" w:hAnsiTheme="minorHAnsi" w:eastAsiaTheme="minorEastAsia" w:cstheme="minorBidi"/>
          <w:szCs w:val="22"/>
        </w:rPr>
      </w:pPr>
      <w:r>
        <w:fldChar w:fldCharType="begin"/>
      </w:r>
      <w:r>
        <w:instrText xml:space="preserve"> HYPERLINK \l "_Toc62465140" </w:instrText>
      </w:r>
      <w:r>
        <w:fldChar w:fldCharType="separate"/>
      </w:r>
      <w:r>
        <w:rPr>
          <w:rStyle w:val="12"/>
          <w:rFonts w:ascii="黑体" w:eastAsia="黑体"/>
        </w:rPr>
        <w:t>九</w:t>
      </w:r>
      <w:r>
        <w:rPr>
          <w:rStyle w:val="12"/>
          <w:rFonts w:eastAsia="黑体"/>
        </w:rPr>
        <w:t xml:space="preserve"> 标准征求意见情况</w:t>
      </w:r>
      <w:r>
        <w:tab/>
      </w:r>
      <w:r>
        <w:rPr>
          <w:rFonts w:hint="eastAsia"/>
          <w:lang w:val="en-US" w:eastAsia="zh-CN"/>
        </w:rPr>
        <w:t>5</w:t>
      </w:r>
      <w:r>
        <w:fldChar w:fldCharType="end"/>
      </w:r>
    </w:p>
    <w:p>
      <w:pPr>
        <w:spacing w:line="400" w:lineRule="exact"/>
        <w:rPr>
          <w:sz w:val="24"/>
          <w:szCs w:val="36"/>
        </w:rPr>
      </w:pPr>
      <w:r>
        <w:rPr>
          <w:rFonts w:ascii="宋体" w:hAnsi="宋体"/>
          <w:kern w:val="0"/>
          <w:szCs w:val="21"/>
        </w:rPr>
        <w:fldChar w:fldCharType="end"/>
      </w:r>
    </w:p>
    <w:p>
      <w:pPr>
        <w:spacing w:line="400" w:lineRule="exact"/>
        <w:rPr>
          <w:sz w:val="24"/>
          <w:szCs w:val="36"/>
        </w:rPr>
        <w:sectPr>
          <w:headerReference r:id="rId8" w:type="first"/>
          <w:footerReference r:id="rId10" w:type="first"/>
          <w:footerReference r:id="rId9" w:type="default"/>
          <w:pgSz w:w="11906" w:h="16838"/>
          <w:pgMar w:top="1440" w:right="1800" w:bottom="1440" w:left="1800" w:header="851" w:footer="992" w:gutter="0"/>
          <w:pgNumType w:fmt="decimal" w:start="1"/>
          <w:cols w:space="720" w:num="1"/>
          <w:titlePg/>
          <w:docGrid w:type="lines" w:linePitch="312" w:charSpace="0"/>
        </w:sectPr>
      </w:pPr>
    </w:p>
    <w:p>
      <w:pPr>
        <w:spacing w:beforeLines="50"/>
        <w:jc w:val="center"/>
        <w:rPr>
          <w:rFonts w:ascii="黑体" w:hAnsi="黑体" w:eastAsia="黑体"/>
          <w:kern w:val="32"/>
          <w:sz w:val="32"/>
          <w:szCs w:val="36"/>
        </w:rPr>
      </w:pPr>
      <w:r>
        <w:rPr>
          <w:rFonts w:hint="eastAsia" w:ascii="黑体" w:hAnsi="黑体" w:eastAsia="黑体"/>
          <w:kern w:val="32"/>
          <w:sz w:val="32"/>
          <w:szCs w:val="36"/>
        </w:rPr>
        <w:t>《旅游气候适宜度指南》编制说明</w:t>
      </w:r>
    </w:p>
    <w:p>
      <w:pPr>
        <w:pStyle w:val="32"/>
        <w:numPr>
          <w:ilvl w:val="0"/>
          <w:numId w:val="3"/>
        </w:numPr>
        <w:snapToGrid w:val="0"/>
        <w:spacing w:beforeLines="50" w:afterLines="50"/>
        <w:ind w:firstLineChars="0"/>
        <w:outlineLvl w:val="0"/>
        <w:rPr>
          <w:rFonts w:eastAsia="黑体"/>
          <w:sz w:val="24"/>
          <w:szCs w:val="28"/>
        </w:rPr>
      </w:pPr>
      <w:bookmarkStart w:id="0" w:name="_Toc62465132"/>
      <w:r>
        <w:rPr>
          <w:rFonts w:hint="eastAsia" w:eastAsia="黑体"/>
          <w:sz w:val="24"/>
          <w:szCs w:val="28"/>
        </w:rPr>
        <w:t>工作简</w:t>
      </w:r>
      <w:bookmarkEnd w:id="0"/>
      <w:r>
        <w:rPr>
          <w:rFonts w:hint="eastAsia" w:eastAsia="黑体"/>
          <w:sz w:val="24"/>
          <w:szCs w:val="28"/>
        </w:rPr>
        <w:t>况</w:t>
      </w:r>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（一） 任务来源</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6月29日，根据呼和浩特市推进标准化工作领导小组印发的《关于下达2021年第1批呼和浩特市地方标准制修订项目计划的通知》（呼推标办发〔2021〕1号），呼和浩特市地方标准制修订项目《旅游气候适宜度指南》正式立项，项目序号</w:t>
      </w:r>
      <w:r>
        <w:rPr>
          <w:rFonts w:ascii="宋体" w:hAnsi="宋体" w:cs="宋体"/>
          <w:color w:val="000000"/>
          <w:kern w:val="0"/>
          <w:szCs w:val="21"/>
        </w:rPr>
        <w:t>1</w:t>
      </w:r>
      <w:r>
        <w:rPr>
          <w:rFonts w:hint="eastAsia" w:ascii="宋体" w:hAnsi="宋体" w:cs="宋体"/>
          <w:color w:val="000000"/>
          <w:kern w:val="0"/>
          <w:szCs w:val="21"/>
        </w:rPr>
        <w:t>3号。</w:t>
      </w:r>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（二） 起草和协作单位</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起草单位:呼和浩特市气象局</w:t>
      </w:r>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（三） 主要起草人</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本文件主要起草人为刘晓敏、</w:t>
      </w:r>
      <w:r>
        <w:rPr>
          <w:rFonts w:hint="eastAsia"/>
        </w:rPr>
        <w:t>刘星岑、杨泽华、朱峰、韩仙桃、杨彩云、姜佳玉</w:t>
      </w:r>
      <w:r>
        <w:rPr>
          <w:rFonts w:hint="eastAsia" w:ascii="宋体" w:hAnsi="宋体" w:cs="宋体"/>
          <w:color w:val="000000"/>
          <w:kern w:val="0"/>
          <w:szCs w:val="21"/>
        </w:rPr>
        <w:t>。</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刘晓敏：文件起草负责人，主要负责文件起草工作的组织、技术方案的设计、指标方法研究以及文件内容的把关定稿。</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刘星岑：主要起草人，材料编写，参与文件条款的制定和修改。</w:t>
      </w:r>
    </w:p>
    <w:p>
      <w:pPr>
        <w:spacing w:line="360" w:lineRule="auto"/>
        <w:ind w:firstLine="420" w:firstLineChars="200"/>
        <w:jc w:val="left"/>
      </w:pPr>
      <w:r>
        <w:rPr>
          <w:rFonts w:hint="eastAsia" w:ascii="宋体" w:hAnsi="宋体" w:cs="宋体"/>
          <w:color w:val="000000"/>
          <w:kern w:val="0"/>
          <w:szCs w:val="21"/>
        </w:rPr>
        <w:t>杨彩云</w:t>
      </w:r>
      <w:r>
        <w:rPr>
          <w:rFonts w:hint="eastAsia"/>
        </w:rPr>
        <w:t>：主要起草人，</w:t>
      </w:r>
      <w:r>
        <w:rPr>
          <w:rFonts w:hint="eastAsia"/>
          <w:lang w:val="en-US" w:eastAsia="zh-CN"/>
        </w:rPr>
        <w:t>技术指导</w:t>
      </w:r>
      <w:r>
        <w:rPr>
          <w:rFonts w:hint="eastAsia"/>
        </w:rPr>
        <w:t>，</w:t>
      </w:r>
      <w:r>
        <w:rPr>
          <w:rFonts w:hint="eastAsia"/>
          <w:lang w:val="en-US" w:eastAsia="zh-CN"/>
        </w:rPr>
        <w:t>参与材料编写，</w:t>
      </w:r>
      <w:r>
        <w:rPr>
          <w:rFonts w:hint="eastAsia"/>
        </w:rPr>
        <w:t>指导文件条款的修改。</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杨泽华：主要起草人，参与技术方案设计、文件条款的讨论和修改。</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朱峰：主要起草人，参与技术方案设计、文件条款的讨论和修改。</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韩仙桃：主要起草人，</w:t>
      </w:r>
      <w:r>
        <w:rPr>
          <w:rFonts w:hint="eastAsia" w:ascii="宋体" w:hAnsi="宋体" w:cs="宋体"/>
          <w:color w:val="000000"/>
          <w:kern w:val="0"/>
          <w:szCs w:val="21"/>
          <w:lang w:val="en-US" w:eastAsia="zh-CN"/>
        </w:rPr>
        <w:t>技术指导</w:t>
      </w:r>
      <w:r>
        <w:rPr>
          <w:rFonts w:hint="eastAsia" w:ascii="宋体" w:hAnsi="宋体" w:cs="宋体"/>
          <w:color w:val="000000"/>
          <w:kern w:val="0"/>
          <w:szCs w:val="21"/>
        </w:rPr>
        <w:t>，</w:t>
      </w:r>
      <w:r>
        <w:rPr>
          <w:rFonts w:hint="eastAsia" w:ascii="宋体" w:hAnsi="宋体" w:cs="宋体"/>
          <w:color w:val="000000"/>
          <w:kern w:val="0"/>
          <w:szCs w:val="21"/>
          <w:lang w:val="en-US" w:eastAsia="zh-CN"/>
        </w:rPr>
        <w:t>参与</w:t>
      </w:r>
      <w:r>
        <w:rPr>
          <w:rFonts w:hint="eastAsia" w:ascii="宋体" w:hAnsi="宋体" w:cs="宋体"/>
          <w:color w:val="000000"/>
          <w:kern w:val="0"/>
          <w:szCs w:val="21"/>
        </w:rPr>
        <w:t>文件条款的讨论和修改。</w:t>
      </w:r>
    </w:p>
    <w:p>
      <w:pPr>
        <w:spacing w:line="360" w:lineRule="auto"/>
        <w:ind w:firstLine="420" w:firstLineChars="200"/>
        <w:jc w:val="left"/>
      </w:pPr>
      <w:r>
        <w:rPr>
          <w:rFonts w:hint="eastAsia"/>
        </w:rPr>
        <w:t>姜佳玉：主要起草人，资料收集，参与文件条款的讨论和修改。</w:t>
      </w:r>
    </w:p>
    <w:p>
      <w:pPr>
        <w:pStyle w:val="32"/>
        <w:numPr>
          <w:ilvl w:val="0"/>
          <w:numId w:val="3"/>
        </w:numPr>
        <w:snapToGrid w:val="0"/>
        <w:spacing w:beforeLines="50" w:afterLines="50"/>
        <w:ind w:firstLineChars="0"/>
        <w:outlineLvl w:val="0"/>
        <w:rPr>
          <w:rFonts w:eastAsia="黑体"/>
          <w:sz w:val="24"/>
          <w:szCs w:val="28"/>
        </w:rPr>
      </w:pPr>
      <w:bookmarkStart w:id="1" w:name="_Toc62465133"/>
      <w:r>
        <w:rPr>
          <w:rFonts w:hint="eastAsia" w:eastAsia="黑体"/>
          <w:sz w:val="24"/>
          <w:szCs w:val="28"/>
        </w:rPr>
        <w:t>制定标准的必要性和意义</w:t>
      </w:r>
      <w:bookmarkEnd w:id="1"/>
    </w:p>
    <w:p>
      <w:pPr>
        <w:spacing w:line="360" w:lineRule="auto"/>
        <w:ind w:firstLine="422" w:firstLineChars="200"/>
        <w:jc w:val="left"/>
        <w:rPr>
          <w:rFonts w:ascii="宋体" w:hAnsi="宋体" w:cs="宋体"/>
          <w:b/>
          <w:color w:val="000000"/>
          <w:kern w:val="0"/>
          <w:szCs w:val="21"/>
        </w:rPr>
      </w:pPr>
      <w:bookmarkStart w:id="2" w:name="_Toc17199"/>
      <w:bookmarkStart w:id="3" w:name="_Toc521313219"/>
      <w:r>
        <w:rPr>
          <w:rFonts w:hint="eastAsia" w:ascii="宋体" w:hAnsi="宋体" w:cs="宋体"/>
          <w:b/>
          <w:color w:val="000000"/>
          <w:kern w:val="0"/>
          <w:szCs w:val="21"/>
        </w:rPr>
        <w:t>（一）必要性</w:t>
      </w:r>
      <w:bookmarkEnd w:id="2"/>
      <w:bookmarkEnd w:id="3"/>
    </w:p>
    <w:p>
      <w:pPr>
        <w:spacing w:line="360" w:lineRule="auto"/>
        <w:ind w:firstLine="420" w:firstLineChars="200"/>
        <w:jc w:val="left"/>
        <w:rPr>
          <w:rFonts w:ascii="宋体" w:hAnsi="宋体" w:cs="宋体"/>
          <w:kern w:val="0"/>
          <w:szCs w:val="21"/>
        </w:rPr>
      </w:pPr>
      <w:bookmarkStart w:id="4" w:name="_Toc521313220"/>
      <w:r>
        <w:rPr>
          <w:rFonts w:hint="eastAsia" w:ascii="宋体" w:hAnsi="宋体" w:cs="宋体"/>
          <w:kern w:val="0"/>
          <w:szCs w:val="21"/>
        </w:rPr>
        <w:t>近年来随着社会经济的迅猛发展，人民生活水平的不断提高，旅游行业日益火热的发展情景，旅游活动逐渐被越来越多的都市居民所选择，在2020年初，由于一场疫情的蔓延，远途或者出国旅游计划暂时被搁置，随着国内疫情的逐步被控制，每逢小长假或周末期间，城市居民仍会选择进行短途旅游活动，不论是城郊旅游还是城际旅游，都有其特定的喜爱群体，城市中各个观光地点或是公园和户外水系周围，也都充斥着抽空进行放松休闲的度假人群。</w:t>
      </w:r>
    </w:p>
    <w:p>
      <w:pPr>
        <w:spacing w:line="360" w:lineRule="auto"/>
        <w:ind w:firstLine="420" w:firstLineChars="200"/>
        <w:jc w:val="left"/>
        <w:rPr>
          <w:rFonts w:ascii="宋体" w:hAnsi="宋体" w:cs="宋体"/>
          <w:kern w:val="0"/>
          <w:szCs w:val="21"/>
        </w:rPr>
      </w:pPr>
      <w:r>
        <w:rPr>
          <w:rFonts w:hint="eastAsia" w:ascii="宋体" w:hAnsi="宋体" w:cs="宋体"/>
          <w:kern w:val="0"/>
          <w:szCs w:val="21"/>
        </w:rPr>
        <w:t>呼和浩特市作为北方地区的主要交通枢纽之一，地处黄土高原和内蒙古高原地区，常住人口达314万人，是连接华北和西北地区的重要城市，习近平总书记在考察内蒙古是也曾写下“建设亮丽内蒙古 共圆伟大中国梦”的标语，呼和浩特市是筑牢我国北方生态安全的一道屏障。随着近年来国内热门景点的旅客暴增，假期期间人们会更多地选择一些具有差别化的地区进行旅游，因此，呼和浩特市就成为了很多南北方游客的良好选择。</w:t>
      </w:r>
    </w:p>
    <w:p>
      <w:pPr>
        <w:spacing w:line="360" w:lineRule="auto"/>
        <w:ind w:firstLine="422" w:firstLineChars="200"/>
        <w:jc w:val="left"/>
        <w:rPr>
          <w:rFonts w:ascii="宋体" w:hAnsi="宋体" w:cs="宋体"/>
          <w:b/>
          <w:color w:val="000000"/>
          <w:kern w:val="0"/>
          <w:szCs w:val="21"/>
        </w:rPr>
      </w:pPr>
      <w:bookmarkStart w:id="5" w:name="_Toc17384"/>
      <w:r>
        <w:rPr>
          <w:rFonts w:hint="eastAsia" w:ascii="宋体" w:hAnsi="宋体" w:cs="宋体"/>
          <w:b/>
          <w:color w:val="000000"/>
          <w:kern w:val="0"/>
          <w:szCs w:val="21"/>
        </w:rPr>
        <w:t>（二）意义</w:t>
      </w:r>
      <w:bookmarkEnd w:id="4"/>
      <w:bookmarkEnd w:id="5"/>
    </w:p>
    <w:p>
      <w:pPr>
        <w:spacing w:line="360" w:lineRule="auto"/>
        <w:ind w:firstLine="420" w:firstLineChars="200"/>
        <w:jc w:val="left"/>
        <w:rPr>
          <w:rFonts w:ascii="宋体" w:hAnsi="宋体" w:cs="宋体"/>
          <w:kern w:val="0"/>
          <w:szCs w:val="21"/>
        </w:rPr>
      </w:pPr>
      <w:r>
        <w:rPr>
          <w:rFonts w:hint="eastAsia" w:ascii="宋体" w:hAnsi="宋体" w:cs="宋体"/>
          <w:kern w:val="0"/>
          <w:szCs w:val="21"/>
        </w:rPr>
        <w:t>旅游气候适宜度的概念研究和发展已经在我国初具一些规模，很多一二线重点城市都已制定了适用于本地的旅游气候适宜度等级评价方法，并推广执行，效果显著；作为内蒙古自治区首府城市的呼和浩特市也已经具备开展此项工作的环境条件。发展旅游业作为当地政府的一项收入来源，其每年的收入数据均有一定的增长，虽然疫情过后旅游业整体有所下滑，但就目前国际疫情的严峻形势，国内各地的旅游业仍然具有长线发展的美好前景；而每年的固定假期中，多是3天至5天的小长假模式，供给人们出行的选择其实非常有限，大多数人会选择本地周边游或是城郊户外旅游，所以就此有利形势下，合理制定“旅游气候适宜度”地方标准，可以有效的为本地旅游产品提供有理有据的气象数据支撑，并且根据评价标准可以制定相应合理的旅游建议，所以制定本地的旅游气候适宜度评估指南是一项利于民生经济发展，进一步增加财政收入的有效途径。</w:t>
      </w:r>
    </w:p>
    <w:p>
      <w:pPr>
        <w:pStyle w:val="32"/>
        <w:numPr>
          <w:ilvl w:val="0"/>
          <w:numId w:val="3"/>
        </w:numPr>
        <w:snapToGrid w:val="0"/>
        <w:spacing w:beforeLines="50" w:afterLines="50"/>
        <w:ind w:firstLineChars="0"/>
        <w:outlineLvl w:val="0"/>
        <w:rPr>
          <w:rFonts w:eastAsia="黑体"/>
          <w:sz w:val="24"/>
          <w:szCs w:val="28"/>
        </w:rPr>
      </w:pPr>
      <w:bookmarkStart w:id="6" w:name="_Toc62465134"/>
      <w:r>
        <w:rPr>
          <w:rFonts w:hint="eastAsia" w:eastAsia="黑体"/>
          <w:sz w:val="24"/>
          <w:szCs w:val="28"/>
        </w:rPr>
        <w:t>主要起草过程</w:t>
      </w:r>
      <w:bookmarkEnd w:id="6"/>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2021年4月，成立标准编制工作组，开始进行标准编制工作前期调研，并查阅国内外相关文献、资料、规范和标准等，为标准制定做好准备。</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2021年5月，标准编制工作组形成了《旅游气候适宜度指南》草案，向呼和浩特市市场监督管理局申报制定该标准。</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2021年6月29日，呼和浩特市推进标准化工作领导小组印发的《关于下达2021年第1批呼和浩特市地方标准制修订项目计划的通知》（呼推标办发〔2021〕1号），项目序号为</w:t>
      </w:r>
      <w:r>
        <w:rPr>
          <w:rFonts w:ascii="宋体" w:hAnsi="宋体" w:cs="宋体"/>
          <w:color w:val="000000"/>
          <w:kern w:val="0"/>
          <w:szCs w:val="21"/>
        </w:rPr>
        <w:t>1</w:t>
      </w:r>
      <w:r>
        <w:rPr>
          <w:rFonts w:hint="eastAsia" w:ascii="宋体" w:hAnsi="宋体" w:cs="宋体"/>
          <w:color w:val="000000"/>
          <w:kern w:val="0"/>
          <w:szCs w:val="21"/>
        </w:rPr>
        <w:t>3号，标准正式立项。</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2021年7月-8月，明确了标准制定的</w:t>
      </w:r>
      <w:r>
        <w:rPr>
          <w:rFonts w:ascii="宋体" w:hAnsi="宋体" w:cs="宋体"/>
          <w:color w:val="000000"/>
          <w:kern w:val="0"/>
          <w:szCs w:val="21"/>
        </w:rPr>
        <w:t>主要步骤</w:t>
      </w:r>
      <w:r>
        <w:rPr>
          <w:rFonts w:hint="eastAsia" w:ascii="宋体" w:hAnsi="宋体" w:cs="宋体"/>
          <w:color w:val="000000"/>
          <w:kern w:val="0"/>
          <w:szCs w:val="21"/>
        </w:rPr>
        <w:t>和计划进度安排，并进行</w:t>
      </w:r>
      <w:r>
        <w:rPr>
          <w:rFonts w:ascii="宋体" w:hAnsi="宋体" w:cs="宋体"/>
          <w:color w:val="000000"/>
          <w:kern w:val="0"/>
          <w:szCs w:val="21"/>
        </w:rPr>
        <w:t>了任务分工</w:t>
      </w:r>
      <w:r>
        <w:rPr>
          <w:rFonts w:hint="eastAsia" w:ascii="宋体" w:hAnsi="宋体" w:cs="宋体"/>
          <w:color w:val="000000"/>
          <w:kern w:val="0"/>
          <w:szCs w:val="21"/>
        </w:rPr>
        <w:t>。经调查研究，修订和完善了标准结构和主要内容，完成《旅游气候适宜度指南》征求意见稿和编制说明。</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2021年9月，向自治区气象行业部门相关单位及专家征求意见。根据征求的意见进行了修改。</w:t>
      </w:r>
    </w:p>
    <w:p>
      <w:pPr>
        <w:spacing w:line="360" w:lineRule="auto"/>
        <w:ind w:firstLine="420" w:firstLineChars="200"/>
        <w:jc w:val="left"/>
        <w:rPr>
          <w:rFonts w:hint="eastAsia" w:ascii="宋体" w:hAnsi="宋体" w:cs="宋体"/>
          <w:color w:val="000000"/>
          <w:kern w:val="0"/>
          <w:szCs w:val="21"/>
        </w:rPr>
        <w:sectPr>
          <w:headerReference r:id="rId12" w:type="first"/>
          <w:footerReference r:id="rId14" w:type="first"/>
          <w:headerReference r:id="rId11" w:type="default"/>
          <w:footerReference r:id="rId13" w:type="default"/>
          <w:pgSz w:w="11906" w:h="16838"/>
          <w:pgMar w:top="1440" w:right="1800" w:bottom="1440" w:left="1800" w:header="851" w:footer="992" w:gutter="0"/>
          <w:pgNumType w:fmt="decimal" w:start="1"/>
          <w:cols w:space="720" w:num="1"/>
          <w:titlePg/>
          <w:docGrid w:type="lines" w:linePitch="312" w:charSpace="0"/>
        </w:sectPr>
      </w:pPr>
      <w:r>
        <w:rPr>
          <w:rFonts w:hint="eastAsia" w:ascii="宋体" w:hAnsi="宋体" w:cs="宋体"/>
          <w:color w:val="000000"/>
          <w:kern w:val="0"/>
          <w:szCs w:val="21"/>
        </w:rPr>
        <w:t>2021年11月， 由呼和浩特市气象局组织召开了呼和浩特市地方标准技术论证会，相关专家听取了标准起草人对编制过程和内容的说明，经质询答疑，提出了修改意见，根据专</w:t>
      </w:r>
    </w:p>
    <w:p>
      <w:pPr>
        <w:spacing w:line="360" w:lineRule="auto"/>
        <w:ind w:firstLine="420" w:firstLineChars="200"/>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家意见进行了修改。</w:t>
      </w:r>
      <w:r>
        <w:rPr>
          <w:rFonts w:hint="eastAsia" w:ascii="宋体" w:hAnsi="宋体" w:cs="宋体"/>
          <w:color w:val="000000"/>
          <w:kern w:val="0"/>
          <w:szCs w:val="21"/>
          <w:lang w:val="en-US" w:eastAsia="zh-CN"/>
        </w:rPr>
        <w:t>标准经修改后形成报批稿，报送呼和浩特市市场监督管理局。</w:t>
      </w:r>
    </w:p>
    <w:p>
      <w:pPr>
        <w:pStyle w:val="32"/>
        <w:numPr>
          <w:ilvl w:val="0"/>
          <w:numId w:val="3"/>
        </w:numPr>
        <w:snapToGrid w:val="0"/>
        <w:spacing w:beforeLines="50" w:afterLines="50"/>
        <w:ind w:firstLineChars="0"/>
        <w:outlineLvl w:val="0"/>
        <w:rPr>
          <w:rFonts w:eastAsia="黑体"/>
          <w:sz w:val="24"/>
          <w:szCs w:val="28"/>
        </w:rPr>
      </w:pPr>
      <w:bookmarkStart w:id="7" w:name="_Toc62465135"/>
      <w:r>
        <w:rPr>
          <w:rFonts w:hint="eastAsia" w:eastAsia="黑体"/>
          <w:sz w:val="24"/>
          <w:szCs w:val="28"/>
        </w:rPr>
        <w:t>制定标准的原则和依据，与现行法律、法规、标准的关系</w:t>
      </w:r>
      <w:bookmarkEnd w:id="7"/>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（一） 文件编制原则</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本标准的编制遵循科学性、实用性、规范性原则。</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1.科学性原则</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编制本标准时，充分了解了呼和浩特市旅游行业现状，将辖区境内已开发的旅游资源、气候背景基础、地理位置优势等进行初步分析，对旅游目的地接待和公众出行选择倾向性情况进行调查分析，借鉴和参考了其他省份的编制经验和参考指标，吸取先进经验和建议，强调文件的科学性。</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2.实用性原则</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文件起草的目的是为有关决策部门和涉及旅游行业的从业者以及公众，提供科学有效的户外旅游出行指南，旅游气象服务保障工作建立有力的技术支撑，因此工作组充分考虑我市普遍存在的实际情况，从标准便于实施的角度出发，对旅游目的地的气候舒适度和适宜性提出了具体的推荐指南，方便旅游气象服务工作的开展。</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3.规范性原则</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本文件依据《中华人民共和国国家标准化法》、《中华人民共和国标准化法实施条例》及其有关法规、规章，按</w:t>
      </w:r>
      <w:r>
        <w:rPr>
          <w:rFonts w:hint="eastAsia"/>
        </w:rPr>
        <w:t>GB/T 1.1—2020《标准化工作导则 第1部分：标准化文件的结构和起草规则》中的原则进行编写，符合标准编写要求。</w:t>
      </w:r>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（二） 主要依据</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标准中规定的气候舒适度等级划分，主要利用呼和浩特市境内7个国家气象观测站自1991年至2020年的气象观测资料，进而对温湿指数、风效指数进行计算，并对计算结果进行统计分析后来进行等级范围区间确定，其中温湿指数I是描述人体对环境温度和湿度综合感受的指数，其计算公式为：</w:t>
      </w:r>
    </w:p>
    <w:p>
      <w:pPr>
        <w:spacing w:line="360" w:lineRule="auto"/>
        <w:jc w:val="center"/>
        <w:rPr>
          <w:rFonts w:ascii="宋体" w:hAnsi="宋体" w:cs="宋体"/>
          <w:color w:val="000000"/>
          <w:kern w:val="0"/>
          <w:szCs w:val="21"/>
        </w:rPr>
      </w:pPr>
      <w:r>
        <w:rPr>
          <w:rFonts w:hint="eastAsia" w:ascii="宋体" w:hAnsi="宋体" w:cs="宋体"/>
          <w:i/>
          <w:iCs/>
          <w:color w:val="000000"/>
          <w:kern w:val="0"/>
          <w:szCs w:val="21"/>
        </w:rPr>
        <w:t>I=T-0.55（1-RH）（T-14.4）</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式中T为评价时段内平均气温，单位为℃，RH为评价时段内平均相对湿度，单位为%，I为温湿指数结果，保留1位小数。而风效指数K是描述人体对风、温度和日照的综合感受的指数，其计算公式为：</w:t>
      </w:r>
    </w:p>
    <w:p>
      <w:pPr>
        <w:spacing w:line="360" w:lineRule="auto"/>
        <w:jc w:val="center"/>
        <w:rPr>
          <w:rFonts w:ascii="宋体" w:hAnsi="宋体" w:cs="宋体"/>
          <w:i/>
          <w:iCs/>
          <w:color w:val="000000"/>
          <w:kern w:val="0"/>
          <w:szCs w:val="21"/>
        </w:rPr>
      </w:pPr>
      <w:r>
        <w:rPr>
          <w:rFonts w:hint="eastAsia" w:ascii="宋体" w:hAnsi="宋体" w:cs="宋体"/>
          <w:i/>
          <w:iCs/>
          <w:color w:val="000000"/>
          <w:kern w:val="0"/>
          <w:szCs w:val="21"/>
        </w:rPr>
        <w:t>K=-（10</w:t>
      </w:r>
      <w:r>
        <w:rPr>
          <w:rFonts w:hint="eastAsia" w:ascii="宋体" w:hAnsi="宋体" w:cs="宋体"/>
          <w:i/>
          <w:iCs/>
          <w:color w:val="000000"/>
          <w:kern w:val="0"/>
          <w:szCs w:val="21"/>
        </w:rPr>
        <w:object>
          <v:shape id="_x0000_i1025" o:spt="75" alt="" type="#_x0000_t75" style="height:16.65pt;width:19.1pt;" o:ole="t" filled="f" o:preferrelative="t" stroked="f" coordsize="21600,21600">
            <v:path/>
            <v:fill on="f" focussize="0,0"/>
            <v:stroke on="f"/>
            <v:imagedata r:id="rId21" o:title=""/>
            <o:lock v:ext="edit" aspectratio="t"/>
            <w10:wrap type="none"/>
            <w10:anchorlock/>
          </v:shape>
          <o:OLEObject Type="Embed" ProgID="Equation.3" ShapeID="_x0000_i1025" DrawAspect="Content" ObjectID="_1468075725" r:id="rId20">
            <o:LockedField>false</o:LockedField>
          </o:OLEObject>
        </w:object>
      </w:r>
      <w:r>
        <w:rPr>
          <w:rFonts w:hint="eastAsia" w:ascii="宋体" w:hAnsi="宋体" w:cs="宋体"/>
          <w:i/>
          <w:iCs/>
          <w:color w:val="000000"/>
          <w:kern w:val="0"/>
          <w:szCs w:val="21"/>
        </w:rPr>
        <w:t>+10.45-V）（33-T）+8.55S</w:t>
      </w:r>
      <w:bookmarkStart w:id="15" w:name="_GoBack"/>
      <w:bookmarkEnd w:id="15"/>
    </w:p>
    <w:p>
      <w:pPr>
        <w:spacing w:line="360" w:lineRule="auto"/>
        <w:ind w:firstLine="420" w:firstLineChars="200"/>
        <w:jc w:val="left"/>
        <w:rPr>
          <w:rFonts w:hint="eastAsia" w:ascii="宋体" w:hAnsi="宋体" w:cs="宋体"/>
          <w:color w:val="000000"/>
          <w:kern w:val="0"/>
          <w:szCs w:val="21"/>
        </w:rPr>
        <w:sectPr>
          <w:footerReference r:id="rId16" w:type="first"/>
          <w:footerReference r:id="rId15" w:type="default"/>
          <w:pgSz w:w="11906" w:h="16838"/>
          <w:pgMar w:top="1440" w:right="1800" w:bottom="1440" w:left="1800" w:header="851" w:footer="992" w:gutter="0"/>
          <w:pgNumType w:fmt="decimal" w:start="1"/>
          <w:cols w:space="720" w:num="1"/>
          <w:titlePg/>
          <w:docGrid w:type="lines" w:linePitch="312" w:charSpace="0"/>
        </w:sectPr>
      </w:pPr>
      <w:r>
        <w:rPr>
          <w:rFonts w:hint="eastAsia" w:ascii="宋体" w:hAnsi="宋体" w:cs="宋体"/>
          <w:color w:val="000000"/>
          <w:kern w:val="0"/>
          <w:szCs w:val="21"/>
        </w:rPr>
        <w:t>式中V为评价时段内平均风速，单位为m/s（米每秒），T为评价时段内平均温度，单</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位为℃，S为评价时段内平均日照时数，单位为h/d（时每天）。</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适宜度评估指标中的空气质量指数，主要利用呼和浩特市近五年每日空气质量指数AQI中轻度污染以上污染日</w:t>
      </w:r>
      <w:bookmarkStart w:id="8" w:name="_Toc26064"/>
      <w:bookmarkStart w:id="9" w:name="_Toc17718"/>
      <w:r>
        <w:rPr>
          <w:rFonts w:hint="eastAsia" w:ascii="宋体" w:hAnsi="宋体" w:cs="宋体"/>
          <w:color w:val="000000"/>
          <w:kern w:val="0"/>
          <w:szCs w:val="21"/>
        </w:rPr>
        <w:t>的数量进行统计分析，并与季节进行对照分析，得出适宜开展旅游活动时空气质量指数分布特征，空气质量指数的具体计算方法可参考HJ 633-2012 《环境空气质量指数（AQI）技术规定（试行）》中的具体要求，本标准说明中将不再赘述。</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评估指标中还考虑了气象灾害带来了突发性影响，以中国气象局发布的气象灾害预警信号种类和等级为主要依据，分析得出对旅游活动产生较大影响的气象灾害种类，综合气候舒适度等级和空气质量指数等级，最终得出旅游气候适宜度评估结果以及对应旅游项目推荐。</w:t>
      </w:r>
      <w:bookmarkEnd w:id="8"/>
      <w:bookmarkEnd w:id="9"/>
    </w:p>
    <w:p>
      <w:pPr>
        <w:spacing w:line="360" w:lineRule="auto"/>
        <w:ind w:firstLine="422" w:firstLineChars="200"/>
        <w:jc w:val="left"/>
        <w:rPr>
          <w:rFonts w:ascii="宋体" w:hAnsi="宋体" w:cs="宋体"/>
          <w:b/>
          <w:color w:val="000000"/>
          <w:kern w:val="0"/>
          <w:szCs w:val="21"/>
        </w:rPr>
      </w:pPr>
      <w:r>
        <w:rPr>
          <w:rFonts w:hint="eastAsia" w:ascii="宋体" w:hAnsi="宋体" w:cs="宋体"/>
          <w:b/>
          <w:color w:val="000000"/>
          <w:kern w:val="0"/>
          <w:szCs w:val="21"/>
        </w:rPr>
        <w:t>（三） 与现行法律、法规、标准的关系</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本文件与现行有关法律、法规、标准没有矛盾。</w:t>
      </w:r>
    </w:p>
    <w:p>
      <w:pPr>
        <w:pStyle w:val="32"/>
        <w:numPr>
          <w:ilvl w:val="0"/>
          <w:numId w:val="3"/>
        </w:numPr>
        <w:snapToGrid w:val="0"/>
        <w:spacing w:beforeLines="50" w:afterLines="50"/>
        <w:ind w:firstLineChars="0"/>
        <w:outlineLvl w:val="0"/>
        <w:rPr>
          <w:rFonts w:eastAsia="黑体"/>
          <w:sz w:val="24"/>
          <w:szCs w:val="28"/>
        </w:rPr>
      </w:pPr>
      <w:bookmarkStart w:id="10" w:name="_Toc62465136"/>
      <w:r>
        <w:rPr>
          <w:rFonts w:hint="eastAsia" w:eastAsia="黑体"/>
          <w:sz w:val="24"/>
          <w:szCs w:val="28"/>
        </w:rPr>
        <w:t>主要条款说明、标准中主要技术指标、参数和试验验证的论述</w:t>
      </w:r>
      <w:bookmarkEnd w:id="10"/>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本标准的主要条款内容包括：术语和定义、旅游气候适宜度评估指标和旅游气候适宜度指南。</w:t>
      </w:r>
    </w:p>
    <w:p>
      <w:pPr>
        <w:spacing w:line="360" w:lineRule="auto"/>
        <w:jc w:val="left"/>
        <w:rPr>
          <w:rFonts w:ascii="宋体" w:hAnsi="宋体" w:cs="宋体"/>
          <w:b/>
          <w:color w:val="000000"/>
          <w:kern w:val="0"/>
          <w:szCs w:val="21"/>
        </w:rPr>
      </w:pPr>
      <w:r>
        <w:rPr>
          <w:rFonts w:hint="eastAsia" w:ascii="宋体" w:hAnsi="宋体" w:cs="宋体"/>
          <w:b/>
          <w:color w:val="000000"/>
          <w:kern w:val="0"/>
          <w:szCs w:val="21"/>
        </w:rPr>
        <w:t>（一）术语和定义</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对本标准中出现的名词进行定义。</w:t>
      </w:r>
    </w:p>
    <w:p>
      <w:pPr>
        <w:spacing w:line="360" w:lineRule="auto"/>
        <w:jc w:val="left"/>
        <w:rPr>
          <w:rFonts w:ascii="宋体" w:hAnsi="宋体" w:cs="宋体"/>
          <w:b/>
          <w:color w:val="000000"/>
          <w:kern w:val="0"/>
          <w:szCs w:val="21"/>
        </w:rPr>
      </w:pPr>
      <w:r>
        <w:rPr>
          <w:rFonts w:hint="eastAsia" w:ascii="宋体" w:hAnsi="宋体" w:cs="宋体"/>
          <w:b/>
          <w:color w:val="000000"/>
          <w:kern w:val="0"/>
          <w:szCs w:val="21"/>
        </w:rPr>
        <w:t>（二）旅游气候适宜度评估指标</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将气候舒适度等级、空气质量指数等级和气象灾害预警信号作为评估旅游目的地气候适宜度评估的具体指标，确定了气候舒适度等级评价指标的计算方法，空气质量评价结果和旅游适宜性评估结果。</w:t>
      </w:r>
    </w:p>
    <w:p>
      <w:pPr>
        <w:spacing w:line="360" w:lineRule="auto"/>
        <w:jc w:val="left"/>
        <w:rPr>
          <w:rFonts w:ascii="宋体" w:hAnsi="宋体" w:cs="宋体"/>
          <w:b/>
          <w:color w:val="000000"/>
          <w:kern w:val="0"/>
          <w:szCs w:val="21"/>
        </w:rPr>
      </w:pPr>
      <w:r>
        <w:rPr>
          <w:rFonts w:hint="eastAsia" w:ascii="宋体" w:hAnsi="宋体" w:cs="宋体"/>
          <w:b/>
          <w:color w:val="000000"/>
          <w:kern w:val="0"/>
          <w:szCs w:val="21"/>
        </w:rPr>
        <w:t>（三）旅游气候适宜度指南</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主结合评估指标，将旅游气候适宜度划分为非常适宜、适宜、较适宜、基本适宜和不适宜，并给出评估结果和具体旅游活动推荐指南。</w:t>
      </w:r>
    </w:p>
    <w:p>
      <w:pPr>
        <w:pStyle w:val="32"/>
        <w:numPr>
          <w:ilvl w:val="0"/>
          <w:numId w:val="3"/>
        </w:numPr>
        <w:snapToGrid w:val="0"/>
        <w:spacing w:beforeLines="50" w:afterLines="50"/>
        <w:ind w:firstLineChars="0"/>
        <w:outlineLvl w:val="0"/>
        <w:rPr>
          <w:rFonts w:eastAsia="黑体"/>
          <w:sz w:val="24"/>
          <w:szCs w:val="28"/>
        </w:rPr>
      </w:pPr>
      <w:bookmarkStart w:id="11" w:name="_Toc62465137"/>
      <w:r>
        <w:rPr>
          <w:rFonts w:hint="eastAsia" w:eastAsia="黑体"/>
          <w:sz w:val="24"/>
          <w:szCs w:val="28"/>
        </w:rPr>
        <w:t>重大意见分歧的处理依据和结果</w:t>
      </w:r>
      <w:bookmarkEnd w:id="11"/>
    </w:p>
    <w:p>
      <w:pPr>
        <w:pStyle w:val="22"/>
        <w:numPr>
          <w:ilvl w:val="0"/>
          <w:numId w:val="0"/>
        </w:numPr>
        <w:spacing w:beforeLines="0" w:afterLines="0" w:line="400" w:lineRule="exact"/>
        <w:ind w:firstLine="420" w:firstLineChars="200"/>
        <w:jc w:val="both"/>
        <w:outlineLvl w:val="9"/>
        <w:rPr>
          <w:rFonts w:ascii="宋体" w:hAnsi="宋体" w:eastAsia="宋体" w:cs="宋体"/>
          <w:color w:val="000000"/>
        </w:rPr>
      </w:pPr>
      <w:r>
        <w:rPr>
          <w:rFonts w:hint="eastAsia" w:ascii="宋体" w:hAnsi="宋体" w:eastAsia="宋体" w:cs="宋体"/>
          <w:color w:val="000000"/>
        </w:rPr>
        <w:t>标准起草过程中，充分征求了相关专家的意见，无</w:t>
      </w:r>
      <w:r>
        <w:rPr>
          <w:rFonts w:ascii="宋体" w:hAnsi="宋体" w:eastAsia="宋体" w:cs="宋体"/>
          <w:color w:val="000000"/>
        </w:rPr>
        <w:t>重大分歧。</w:t>
      </w:r>
    </w:p>
    <w:p>
      <w:pPr>
        <w:pStyle w:val="32"/>
        <w:numPr>
          <w:ilvl w:val="0"/>
          <w:numId w:val="3"/>
        </w:numPr>
        <w:snapToGrid w:val="0"/>
        <w:spacing w:beforeLines="50" w:afterLines="50"/>
        <w:ind w:firstLineChars="0"/>
        <w:outlineLvl w:val="0"/>
        <w:rPr>
          <w:rFonts w:eastAsia="黑体"/>
          <w:sz w:val="24"/>
          <w:szCs w:val="28"/>
        </w:rPr>
      </w:pPr>
      <w:bookmarkStart w:id="12" w:name="_Toc62465138"/>
      <w:r>
        <w:rPr>
          <w:rFonts w:hint="eastAsia" w:eastAsia="黑体"/>
          <w:sz w:val="24"/>
          <w:szCs w:val="28"/>
        </w:rPr>
        <w:t>采用国际标准或国外先进标准的，说明采标程度及国内外同类标准水平的对比情况</w:t>
      </w:r>
      <w:bookmarkEnd w:id="12"/>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没有采用国际标准或国外先进标准。</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2011年由湖北省气象局和中国气象科学研究院等多家单位制定《人居环境气候舒适度评价》国家标准中，对温湿指数和风效指数给出了具体的定义和计算公式，规定了对人居环境气候舒适度的等级划分以及评价结果。</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根据内蒙古自治区本身幅员辽阔、地大物博的特点，自西向东分布着干旱、半干旱、半湿润和湿润地区，其地形地貌也变化多样，存在着沙漠、戈壁、草原、湿地、湖泊、森林等；多变的气候背景加上丰富的地貌信息，使得内蒙古自治区境内存在着多种多样丰富的而旅游资源，根据这一特点，内蒙古自治区气象局于2018年制定《旅游气候舒适度等级》地方标准，标准中规定旅游气候舒适度的具体定义和等级评价的方法，并将冬半年与夏半年进行了评价方式的区分，并给出了最终旅游气候舒适度等级评价的结果。</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 xml:space="preserve">以上现有的国内标准文件中，分别考虑了人居环境和旅游时的气候舒适度给人体感觉带来的不同体验，评价结果重在指出特定情景下人体自身的舒适度等级。呼和浩特市作为内蒙古自治区的首府城市，也同样蕴含着多样的旅游资源，分布着多种不同情境的旅游场所，针对这一特点，考虑到近年多发的污染天气的影响，本着以人体感觉为优先的原则，开展了针对呼和浩特市旅游气候适宜度评估工作，本标准中不但以温湿指数和风效指数为前提进行气候舒适度等级的划分，还针对空气质量指数等级和气象灾害预警信号发布，进行旅游适宜度评估，体现出对人体感觉舒适度和旅游活动适宜性的充分考虑，本标准中体现的旅游气候适宜度评估更加合理化和人性化，相较于国家标准和内蒙古地方标准，更适合在呼和浩特市地区进行推广实施。 </w:t>
      </w:r>
    </w:p>
    <w:p>
      <w:pPr>
        <w:pStyle w:val="32"/>
        <w:numPr>
          <w:ilvl w:val="0"/>
          <w:numId w:val="3"/>
        </w:numPr>
        <w:snapToGrid w:val="0"/>
        <w:spacing w:beforeLines="50" w:afterLines="50"/>
        <w:ind w:firstLineChars="0"/>
        <w:outlineLvl w:val="0"/>
        <w:rPr>
          <w:rFonts w:eastAsia="黑体"/>
          <w:sz w:val="24"/>
          <w:szCs w:val="28"/>
        </w:rPr>
      </w:pPr>
      <w:bookmarkStart w:id="13" w:name="_Toc62465139"/>
      <w:r>
        <w:rPr>
          <w:rFonts w:hint="eastAsia" w:eastAsia="黑体"/>
          <w:sz w:val="24"/>
          <w:szCs w:val="28"/>
        </w:rPr>
        <w:t>其他应说明的事项</w:t>
      </w:r>
      <w:bookmarkEnd w:id="13"/>
    </w:p>
    <w:p>
      <w:pPr>
        <w:pStyle w:val="22"/>
        <w:numPr>
          <w:ilvl w:val="0"/>
          <w:numId w:val="0"/>
        </w:numPr>
        <w:spacing w:beforeLines="0" w:afterLines="0" w:line="400" w:lineRule="exact"/>
        <w:ind w:firstLine="420" w:firstLineChars="200"/>
        <w:jc w:val="both"/>
        <w:outlineLvl w:val="9"/>
        <w:rPr>
          <w:rFonts w:ascii="宋体" w:hAnsi="宋体" w:eastAsia="宋体"/>
          <w:szCs w:val="24"/>
        </w:rPr>
      </w:pPr>
      <w:r>
        <w:rPr>
          <w:rFonts w:hint="eastAsia" w:ascii="宋体" w:hAnsi="宋体" w:eastAsia="宋体"/>
          <w:szCs w:val="24"/>
        </w:rPr>
        <w:t>无。</w:t>
      </w:r>
    </w:p>
    <w:p>
      <w:pPr>
        <w:pStyle w:val="32"/>
        <w:numPr>
          <w:ilvl w:val="0"/>
          <w:numId w:val="3"/>
        </w:numPr>
        <w:snapToGrid w:val="0"/>
        <w:spacing w:beforeLines="50" w:afterLines="50"/>
        <w:ind w:firstLineChars="0"/>
        <w:outlineLvl w:val="0"/>
        <w:rPr>
          <w:rFonts w:eastAsia="黑体"/>
          <w:sz w:val="24"/>
          <w:szCs w:val="28"/>
        </w:rPr>
      </w:pPr>
      <w:bookmarkStart w:id="14" w:name="_Toc62465140"/>
      <w:r>
        <w:rPr>
          <w:rFonts w:eastAsia="黑体"/>
          <w:sz w:val="24"/>
          <w:szCs w:val="28"/>
        </w:rPr>
        <w:t>标准征求意见情况</w:t>
      </w:r>
      <w:bookmarkEnd w:id="14"/>
    </w:p>
    <w:p>
      <w:pPr>
        <w:pStyle w:val="32"/>
        <w:snapToGrid w:val="0"/>
        <w:spacing w:beforeLines="50" w:afterLines="50"/>
        <w:ind w:firstLine="0" w:firstLineChars="0"/>
        <w:jc w:val="center"/>
        <w:rPr>
          <w:rFonts w:ascii="黑体" w:hAnsi="黑体" w:eastAsia="黑体"/>
          <w:szCs w:val="24"/>
        </w:rPr>
      </w:pPr>
      <w:r>
        <w:rPr>
          <w:rFonts w:hint="eastAsia" w:ascii="黑体" w:hAnsi="黑体" w:eastAsia="黑体"/>
          <w:szCs w:val="24"/>
        </w:rPr>
        <w:t>表</w:t>
      </w:r>
      <w:r>
        <w:rPr>
          <w:rFonts w:ascii="黑体" w:hAnsi="黑体" w:eastAsia="黑体"/>
          <w:szCs w:val="24"/>
        </w:rPr>
        <w:t xml:space="preserve"> 1 </w:t>
      </w:r>
      <w:r>
        <w:rPr>
          <w:rFonts w:hint="eastAsia" w:ascii="黑体" w:hAnsi="黑体" w:eastAsia="黑体"/>
          <w:szCs w:val="24"/>
        </w:rPr>
        <w:t>《旅游气候适宜度指南》技术论证会意见汇总处理表</w:t>
      </w:r>
    </w:p>
    <w:tbl>
      <w:tblPr>
        <w:tblStyle w:val="9"/>
        <w:tblW w:w="8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3614"/>
        <w:gridCol w:w="1584"/>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序号</w:t>
            </w:r>
          </w:p>
        </w:tc>
        <w:tc>
          <w:tcPr>
            <w:tcW w:w="361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意见</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不采纳（说明原因）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1</w:t>
            </w:r>
          </w:p>
        </w:tc>
        <w:tc>
          <w:tcPr>
            <w:tcW w:w="3614" w:type="dxa"/>
            <w:vAlign w:val="center"/>
          </w:tcPr>
          <w:p>
            <w:pPr>
              <w:rPr>
                <w:rFonts w:asciiTheme="majorEastAsia" w:hAnsiTheme="majorEastAsia" w:eastAsiaTheme="majorEastAsia"/>
                <w:szCs w:val="21"/>
              </w:rPr>
            </w:pPr>
            <w:r>
              <w:rPr>
                <w:rFonts w:hint="eastAsia" w:asciiTheme="majorEastAsia" w:hAnsiTheme="majorEastAsia" w:eastAsiaTheme="majorEastAsia"/>
                <w:szCs w:val="21"/>
              </w:rPr>
              <w:t>标题“城市旅游环境气候舒适度等级评价”修改为“旅游气候适宜度指南”</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2</w:t>
            </w:r>
          </w:p>
        </w:tc>
        <w:tc>
          <w:tcPr>
            <w:tcW w:w="3614" w:type="dxa"/>
            <w:vAlign w:val="center"/>
          </w:tcPr>
          <w:p>
            <w:pPr>
              <w:rPr>
                <w:rFonts w:asciiTheme="majorEastAsia" w:hAnsiTheme="majorEastAsia" w:eastAsiaTheme="majorEastAsia"/>
                <w:szCs w:val="21"/>
              </w:rPr>
            </w:pPr>
            <w:r>
              <w:rPr>
                <w:rFonts w:hint="eastAsia" w:asciiTheme="majorEastAsia" w:hAnsiTheme="majorEastAsia" w:eastAsiaTheme="majorEastAsia"/>
                <w:szCs w:val="21"/>
              </w:rPr>
              <w:t>将评价方法再细致化，计算公式可以合并撰写</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3</w:t>
            </w:r>
          </w:p>
        </w:tc>
        <w:tc>
          <w:tcPr>
            <w:tcW w:w="3614" w:type="dxa"/>
            <w:vAlign w:val="center"/>
          </w:tcPr>
          <w:p>
            <w:pPr>
              <w:rPr>
                <w:rFonts w:asciiTheme="majorEastAsia" w:hAnsiTheme="majorEastAsia" w:eastAsiaTheme="majorEastAsia"/>
                <w:szCs w:val="21"/>
              </w:rPr>
            </w:pPr>
            <w:r>
              <w:rPr>
                <w:rFonts w:hint="eastAsia" w:asciiTheme="majorEastAsia" w:hAnsiTheme="majorEastAsia" w:eastAsiaTheme="majorEastAsia"/>
                <w:szCs w:val="21"/>
              </w:rPr>
              <w:t>空气质量指数等级划分进行详细评价</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4</w:t>
            </w:r>
          </w:p>
        </w:tc>
        <w:tc>
          <w:tcPr>
            <w:tcW w:w="3614" w:type="dxa"/>
            <w:vAlign w:val="center"/>
          </w:tcPr>
          <w:p>
            <w:pPr>
              <w:rPr>
                <w:rFonts w:asciiTheme="majorEastAsia" w:hAnsiTheme="majorEastAsia" w:eastAsiaTheme="majorEastAsia"/>
                <w:szCs w:val="21"/>
              </w:rPr>
            </w:pPr>
            <w:r>
              <w:rPr>
                <w:rFonts w:hint="eastAsia" w:asciiTheme="majorEastAsia" w:hAnsiTheme="majorEastAsia" w:eastAsiaTheme="majorEastAsia"/>
                <w:szCs w:val="21"/>
              </w:rPr>
              <w:t>综合给出旅游适宜性评估结果和推荐指南</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4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5</w:t>
            </w:r>
          </w:p>
        </w:tc>
        <w:tc>
          <w:tcPr>
            <w:tcW w:w="3614" w:type="dxa"/>
            <w:vAlign w:val="center"/>
          </w:tcPr>
          <w:p>
            <w:pPr>
              <w:rPr>
                <w:rFonts w:asciiTheme="majorEastAsia" w:hAnsiTheme="majorEastAsia" w:eastAsiaTheme="majorEastAsia"/>
                <w:szCs w:val="21"/>
              </w:rPr>
            </w:pPr>
            <w:r>
              <w:rPr>
                <w:rFonts w:hint="eastAsia" w:asciiTheme="majorEastAsia" w:hAnsiTheme="majorEastAsia" w:eastAsiaTheme="majorEastAsia"/>
                <w:szCs w:val="21"/>
              </w:rPr>
              <w:t>调整规范性引用文件顺序，将环境行业标准位置提前</w:t>
            </w:r>
          </w:p>
        </w:tc>
        <w:tc>
          <w:tcPr>
            <w:tcW w:w="1584"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采纳</w:t>
            </w:r>
          </w:p>
        </w:tc>
        <w:tc>
          <w:tcPr>
            <w:tcW w:w="2215" w:type="dxa"/>
            <w:vAlign w:val="center"/>
          </w:tcPr>
          <w:p>
            <w:pPr>
              <w:rPr>
                <w:rFonts w:asciiTheme="majorEastAsia" w:hAnsiTheme="majorEastAsia" w:eastAsiaTheme="majorEastAsia"/>
                <w:szCs w:val="21"/>
              </w:rPr>
            </w:pPr>
          </w:p>
        </w:tc>
      </w:tr>
    </w:tbl>
    <w:p>
      <w:pPr>
        <w:pStyle w:val="22"/>
        <w:numPr>
          <w:ilvl w:val="0"/>
          <w:numId w:val="0"/>
        </w:numPr>
        <w:spacing w:beforeLines="0" w:afterLines="0" w:line="400" w:lineRule="exact"/>
        <w:ind w:firstLine="420" w:firstLineChars="200"/>
        <w:jc w:val="both"/>
        <w:outlineLvl w:val="9"/>
        <w:rPr>
          <w:rFonts w:ascii="宋体" w:hAnsi="宋体" w:eastAsia="宋体"/>
          <w:szCs w:val="24"/>
        </w:rPr>
      </w:pPr>
    </w:p>
    <w:sectPr>
      <w:footerReference r:id="rId18" w:type="first"/>
      <w:footerReference r:id="rId17" w:type="default"/>
      <w:pgSz w:w="11906" w:h="16838"/>
      <w:pgMar w:top="1440" w:right="1800" w:bottom="1440" w:left="1800" w:header="851" w:footer="992" w:gutter="0"/>
      <w:pgNumType w:fmt="decimal"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pict>
        <v:shape id="_x0000_s4097" o:spid="_x0000_s4097"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jc w:val="left"/>
                </w:pPr>
                <w:r>
                  <w:fldChar w:fldCharType="begin"/>
                </w:r>
                <w:r>
                  <w:instrText xml:space="preserve">PAGE   \* MERGEFORMAT</w:instrText>
                </w:r>
                <w:r>
                  <w:fldChar w:fldCharType="separate"/>
                </w:r>
                <w:r>
                  <w:rPr>
                    <w:lang w:val="zh-CN"/>
                  </w:rPr>
                  <w:t>6</w:t>
                </w:r>
                <w: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pict>
        <v:shape id="_x0000_s4103" o:spid="_x0000_s4103" o:spt="202" type="#_x0000_t202" style="position:absolute;left:0pt;margin-left:408.6pt;margin-top:0pt;height:144pt;width:144p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val="en-US" w:eastAsia="zh-CN"/>
                  </w:rPr>
                </w:pPr>
                <w:r>
                  <w:rPr>
                    <w:rFonts w:hint="eastAsia"/>
                    <w:lang w:val="en-US" w:eastAsia="zh-CN"/>
                  </w:rPr>
                  <w:t>5</w:t>
                </w:r>
              </w:p>
            </w:txbxContent>
          </v:textbox>
        </v:shape>
      </w:pict>
    </w:r>
    <w:r>
      <w:rPr>
        <w:sz w:val="18"/>
      </w:rPr>
      <w:pict>
        <v:shape id="_x0000_s4104" o:spid="_x0000_s4104"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4"/>
                  <w:jc w:val="left"/>
                  <w:rPr>
                    <w:rFonts w:hint="default" w:eastAsia="宋体"/>
                    <w:lang w:val="en-US" w:eastAsia="zh-CN"/>
                  </w:rPr>
                </w:pP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4102" o:spid="_x0000_s4102" o:spt="202" type="#_x0000_t202" style="position:absolute;left:0pt;margin-left:1pt;margin-top:-2.4pt;height:144pt;width:144pt;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4"/>
                  <w:jc w:val="left"/>
                  <w:rPr>
                    <w:rFonts w:hint="eastAsia" w:eastAsia="宋体"/>
                    <w:lang w:val="en-US" w:eastAsia="zh-CN"/>
                  </w:rPr>
                </w:pPr>
                <w:r>
                  <w:rPr>
                    <w:rFonts w:hint="eastAsia"/>
                    <w:lang w:val="en-US" w:eastAsia="zh-CN"/>
                  </w:rPr>
                  <w:t>4</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pict>
        <v:shape id="_x0000_s4099" o:spid="_x0000_s4099" o:spt="202" type="#_x0000_t202" style="position:absolute;left:0pt;margin-top:0pt;height:144pt;width:144pt;mso-position-horizontal:outside;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4"/>
                  <w:jc w:val="left"/>
                </w:pPr>
                <w:r>
                  <w:fldChar w:fldCharType="begin"/>
                </w:r>
                <w:r>
                  <w:instrText xml:space="preserve">PAGE   \* MERGEFORMAT</w:instrText>
                </w:r>
                <w:r>
                  <w:fldChar w:fldCharType="separate"/>
                </w:r>
                <w:r>
                  <w:rPr>
                    <w:lang w:val="zh-CN"/>
                  </w:rPr>
                  <w:t>6</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w:pict>
        <v:shape id="_x0000_s4098" o:spid="_x0000_s4098"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jc w:val="right"/>
                </w:pPr>
                <w:r>
                  <w:fldChar w:fldCharType="begin"/>
                </w:r>
                <w:r>
                  <w:instrText xml:space="preserve">PAGE   \* MERGEFORMAT</w:instrText>
                </w:r>
                <w:r>
                  <w:fldChar w:fldCharType="separate"/>
                </w:r>
                <w:r>
                  <w:rPr>
                    <w:lang w:val="zh-CN"/>
                  </w:rPr>
                  <w:t>1</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pict>
        <v:shape id="_x0000_s4101" o:spid="_x0000_s4101"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jc w:val="left"/>
                  <w:rPr>
                    <w:rFonts w:hint="default" w:eastAsia="宋体"/>
                    <w:lang w:val="en-US" w:eastAsia="zh-CN"/>
                  </w:rPr>
                </w:pP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w:pict>
        <v:shape id="_x0000_s4100" o:spid="_x0000_s4100"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jc w:val="right"/>
                </w:pPr>
                <w:r>
                  <w:rPr>
                    <w:rFonts w:hint="eastAsia"/>
                    <w:lang w:val="en-US" w:eastAsia="zh-CN"/>
                  </w:rPr>
                  <w:t>3</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 xml:space="preserve">DB15/T </w:t>
    </w:r>
    <w:r>
      <w:rPr>
        <w:rFonts w:hint="eastAsia" w:ascii="黑体" w:eastAsia="黑体"/>
      </w:rPr>
      <w:t>XXXXX</w:t>
    </w:r>
    <w:r>
      <w:rPr>
        <w:rFonts w:ascii="黑体" w:eastAsia="黑体"/>
      </w:rPr>
      <w:t>-</w:t>
    </w:r>
    <w:r>
      <w:rPr>
        <w:rFonts w:hint="eastAsia" w:ascii="黑体" w:eastAsia="黑体"/>
      </w:rPr>
      <w:t>XXXX农业小气候观测数据格式规范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hint="eastAsia" w:ascii="黑体" w:eastAsia="黑体"/>
      </w:rPr>
      <w:t>呼和浩特市</w:t>
    </w:r>
    <w:r>
      <w:rPr>
        <w:rFonts w:ascii="黑体" w:eastAsia="黑体"/>
      </w:rPr>
      <w:t>推荐性地方标准</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DB15</w:t>
    </w:r>
    <w:r>
      <w:rPr>
        <w:rFonts w:hint="eastAsia" w:ascii="黑体" w:eastAsia="黑体"/>
      </w:rPr>
      <w:t>01</w:t>
    </w:r>
    <w:r>
      <w:rPr>
        <w:rFonts w:ascii="黑体" w:eastAsia="黑体"/>
      </w:rPr>
      <w:t>/</w:t>
    </w:r>
    <w:r>
      <w:rPr>
        <w:rFonts w:hint="eastAsia" w:ascii="黑体" w:eastAsia="黑体"/>
        <w:lang w:val="en-US" w:eastAsia="zh-CN"/>
      </w:rPr>
      <w:t xml:space="preserve">T </w:t>
    </w:r>
    <w:r>
      <w:rPr>
        <w:rFonts w:hint="eastAsia" w:ascii="黑体" w:eastAsia="黑体"/>
      </w:rPr>
      <w:t>XXXX</w:t>
    </w:r>
    <w:r>
      <w:rPr>
        <w:rFonts w:ascii="黑体" w:eastAsia="黑体"/>
      </w:rPr>
      <w:t>-</w:t>
    </w:r>
    <w:r>
      <w:rPr>
        <w:rFonts w:hint="eastAsia" w:ascii="黑体" w:eastAsia="黑体"/>
      </w:rPr>
      <w:t>XXXX旅游气候适宜度指南</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DB15</w:t>
    </w:r>
    <w:r>
      <w:rPr>
        <w:rFonts w:hint="eastAsia" w:ascii="黑体" w:eastAsia="黑体"/>
      </w:rPr>
      <w:t>01</w:t>
    </w:r>
    <w:r>
      <w:rPr>
        <w:rFonts w:ascii="黑体" w:eastAsia="黑体"/>
      </w:rPr>
      <w:t>/</w:t>
    </w:r>
    <w:r>
      <w:rPr>
        <w:rFonts w:hint="eastAsia" w:ascii="黑体" w:eastAsia="黑体"/>
        <w:lang w:val="en-US" w:eastAsia="zh-CN"/>
      </w:rPr>
      <w:t xml:space="preserve">T </w:t>
    </w:r>
    <w:r>
      <w:rPr>
        <w:rFonts w:hint="eastAsia" w:ascii="黑体" w:eastAsia="黑体"/>
      </w:rPr>
      <w:t>XXXX</w:t>
    </w:r>
    <w:r>
      <w:rPr>
        <w:rFonts w:ascii="黑体" w:eastAsia="黑体"/>
      </w:rPr>
      <w:t>-</w:t>
    </w:r>
    <w:r>
      <w:rPr>
        <w:rFonts w:hint="eastAsia" w:ascii="黑体" w:eastAsia="黑体"/>
      </w:rPr>
      <w:t>XXXX旅游气候适宜度指南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1"/>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pStyle w:val="19"/>
      <w:suff w:val="nothing"/>
      <w:lvlText w:val="%1.%2.%3.%4.%5　"/>
      <w:lvlJc w:val="left"/>
      <w:pPr>
        <w:ind w:left="0" w:firstLine="0"/>
      </w:pPr>
      <w:rPr>
        <w:rFonts w:hint="eastAsia" w:ascii="黑体" w:hAnsi="Times New Roman" w:eastAsia="黑体"/>
        <w:b w:val="0"/>
        <w:i w:val="0"/>
        <w:sz w:val="21"/>
      </w:rPr>
    </w:lvl>
    <w:lvl w:ilvl="5" w:tentative="0">
      <w:start w:val="1"/>
      <w:numFmt w:val="decimal"/>
      <w:pStyle w:val="1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E2B320D"/>
    <w:multiLevelType w:val="multilevel"/>
    <w:tmpl w:val="3E2B320D"/>
    <w:lvl w:ilvl="0" w:tentative="0">
      <w:start w:val="1"/>
      <w:numFmt w:val="chineseCountingThousand"/>
      <w:suff w:val="space"/>
      <w:lvlText w:val="%1"/>
      <w:lvlJc w:val="left"/>
      <w:pPr>
        <w:ind w:left="0" w:firstLine="0"/>
      </w:pPr>
      <w:rPr>
        <w:rFonts w:hint="eastAsia" w:ascii="黑体" w:hAnsi="Times New Roman" w:eastAsia="黑体"/>
        <w:b w:val="0"/>
        <w:i w:val="0"/>
        <w:color w:val="auto"/>
        <w:sz w:val="24"/>
      </w:rPr>
    </w:lvl>
    <w:lvl w:ilvl="1" w:tentative="0">
      <w:start w:val="1"/>
      <w:numFmt w:val="decimal"/>
      <w:suff w:val="space"/>
      <w:lvlText w:val="%2 "/>
      <w:lvlJc w:val="left"/>
      <w:pPr>
        <w:ind w:left="0" w:firstLine="0"/>
      </w:pPr>
      <w:rPr>
        <w:rFonts w:hint="eastAsia" w:ascii="黑体" w:eastAsia="黑体"/>
        <w:b w:val="0"/>
        <w:i w:val="0"/>
        <w:sz w:val="21"/>
      </w:rPr>
    </w:lvl>
    <w:lvl w:ilvl="2" w:tentative="0">
      <w:start w:val="1"/>
      <w:numFmt w:val="decimal"/>
      <w:suff w:val="space"/>
      <w:lvlText w:val="%2.%3"/>
      <w:lvlJc w:val="left"/>
      <w:pPr>
        <w:ind w:left="0" w:firstLine="0"/>
      </w:pPr>
      <w:rPr>
        <w:rFonts w:hint="eastAsia" w:ascii="黑体" w:eastAsia="黑体"/>
        <w:b w:val="0"/>
        <w:i w:val="0"/>
        <w:sz w:val="21"/>
      </w:rPr>
    </w:lvl>
    <w:lvl w:ilvl="3" w:tentative="0">
      <w:start w:val="1"/>
      <w:numFmt w:val="decimal"/>
      <w:suff w:val="space"/>
      <w:lvlText w:val="%2.%3.%4"/>
      <w:lvlJc w:val="left"/>
      <w:pPr>
        <w:ind w:left="0" w:firstLine="0"/>
      </w:pPr>
      <w:rPr>
        <w:rFonts w:hint="eastAsia" w:ascii="黑体" w:eastAsia="黑体"/>
        <w:b w:val="0"/>
        <w:i w:val="0"/>
        <w:sz w:val="21"/>
      </w:rPr>
    </w:lvl>
    <w:lvl w:ilvl="4" w:tentative="0">
      <w:start w:val="1"/>
      <w:numFmt w:val="decimal"/>
      <w:suff w:val="space"/>
      <w:lvlText w:val="%2.%3.%4.%5"/>
      <w:lvlJc w:val="left"/>
      <w:pPr>
        <w:ind w:left="0" w:firstLine="0"/>
      </w:pPr>
      <w:rPr>
        <w:rFonts w:hint="eastAsia" w:ascii="黑体" w:eastAsia="黑体"/>
        <w:b w:val="0"/>
        <w:i w:val="0"/>
        <w:sz w:val="21"/>
      </w:rPr>
    </w:lvl>
    <w:lvl w:ilvl="5" w:tentative="0">
      <w:start w:val="1"/>
      <w:numFmt w:val="decimal"/>
      <w:suff w:val="space"/>
      <w:lvlText w:val="%2.%3.%4.%5.%6"/>
      <w:lvlJc w:val="left"/>
      <w:pPr>
        <w:ind w:left="0" w:firstLine="0"/>
      </w:pPr>
      <w:rPr>
        <w:rFonts w:hint="eastAsia" w:ascii="黑体" w:eastAsia="黑体"/>
        <w:b w:val="0"/>
        <w:i w:val="0"/>
        <w:sz w:val="21"/>
      </w:rPr>
    </w:lvl>
    <w:lvl w:ilvl="6" w:tentative="0">
      <w:start w:val="1"/>
      <w:numFmt w:val="decimal"/>
      <w:suff w:val="space"/>
      <w:lvlText w:val="%2.%3.%4.%5.%6.%7"/>
      <w:lvlJc w:val="left"/>
      <w:pPr>
        <w:ind w:left="0" w:firstLine="0"/>
      </w:pPr>
      <w:rPr>
        <w:rFonts w:hint="eastAsia" w:ascii="黑体" w:eastAsia="黑体"/>
        <w:b w:val="0"/>
        <w:i w:val="0"/>
        <w:sz w:val="21"/>
      </w:rPr>
    </w:lvl>
    <w:lvl w:ilvl="7" w:tentative="0">
      <w:start w:val="1"/>
      <w:numFmt w:val="decimal"/>
      <w:suff w:val="space"/>
      <w:lvlText w:val="%2.%3.%4.%5.%6.%7.%8"/>
      <w:lvlJc w:val="left"/>
      <w:pPr>
        <w:ind w:left="0" w:firstLine="0"/>
      </w:pPr>
      <w:rPr>
        <w:rFonts w:hint="eastAsia" w:ascii="黑体" w:eastAsia="黑体"/>
        <w:b w:val="0"/>
        <w:i w:val="0"/>
        <w:sz w:val="21"/>
      </w:rPr>
    </w:lvl>
    <w:lvl w:ilvl="8" w:tentative="0">
      <w:start w:val="1"/>
      <w:numFmt w:val="decimal"/>
      <w:suff w:val="space"/>
      <w:lvlText w:val="%2.%3.%4.%5.%6.%7.%8.%9"/>
      <w:lvlJc w:val="left"/>
      <w:pPr>
        <w:ind w:left="0" w:firstLine="0"/>
      </w:pPr>
      <w:rPr>
        <w:rFonts w:hint="eastAsia" w:ascii="黑体" w:eastAsia="黑体"/>
        <w:b w:val="0"/>
        <w:i w:val="0"/>
        <w:sz w:val="21"/>
      </w:rPr>
    </w:lvl>
  </w:abstractNum>
  <w:abstractNum w:abstractNumId="2">
    <w:nsid w:val="6CEA2025"/>
    <w:multiLevelType w:val="multilevel"/>
    <w:tmpl w:val="6CEA2025"/>
    <w:lvl w:ilvl="0" w:tentative="0">
      <w:start w:val="1"/>
      <w:numFmt w:val="none"/>
      <w:pStyle w:val="31"/>
      <w:suff w:val="nothing"/>
      <w:lvlText w:val="%1"/>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3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5"/>
      <w:suff w:val="nothing"/>
      <w:lvlText w:val="%1%2.%3.%4　"/>
      <w:lvlJc w:val="left"/>
      <w:pPr>
        <w:ind w:left="0" w:firstLine="0"/>
      </w:pPr>
      <w:rPr>
        <w:rFonts w:hint="eastAsia" w:ascii="黑体" w:eastAsia="黑体"/>
        <w:b w:val="0"/>
        <w:i w:val="0"/>
        <w:sz w:val="21"/>
      </w:rPr>
    </w:lvl>
    <w:lvl w:ilvl="4" w:tentative="0">
      <w:start w:val="1"/>
      <w:numFmt w:val="decimal"/>
      <w:pStyle w:val="26"/>
      <w:suff w:val="nothing"/>
      <w:lvlText w:val="%1%2.%3.%4.%5　"/>
      <w:lvlJc w:val="left"/>
      <w:pPr>
        <w:ind w:left="0" w:firstLine="0"/>
      </w:pPr>
      <w:rPr>
        <w:rFonts w:hint="eastAsia" w:ascii="黑体" w:eastAsia="黑体"/>
        <w:b w:val="0"/>
        <w:i w:val="0"/>
        <w:sz w:val="21"/>
      </w:rPr>
    </w:lvl>
    <w:lvl w:ilvl="5" w:tentative="0">
      <w:start w:val="1"/>
      <w:numFmt w:val="decimal"/>
      <w:pStyle w:val="27"/>
      <w:suff w:val="nothing"/>
      <w:lvlText w:val="%1%2.%3.%4.%5.%6　"/>
      <w:lvlJc w:val="left"/>
      <w:pPr>
        <w:ind w:left="0" w:firstLine="0"/>
      </w:pPr>
      <w:rPr>
        <w:rFonts w:hint="eastAsia" w:ascii="黑体" w:eastAsia="黑体"/>
        <w:b w:val="0"/>
        <w:i w:val="0"/>
        <w:sz w:val="21"/>
      </w:rPr>
    </w:lvl>
    <w:lvl w:ilvl="6" w:tentative="0">
      <w:start w:val="1"/>
      <w:numFmt w:val="decimal"/>
      <w:pStyle w:val="2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useFELayout/>
    <w:compatSetting w:name="compatibilityMode" w:uri="http://schemas.microsoft.com/office/word" w:val="12"/>
  </w:compat>
  <w:docVars>
    <w:docVar w:name="commondata" w:val="eyJoZGlkIjoiMTNhYmYxNjBhNTM4NThjZWQ3M2FmOWI2NmM5ODBlOTgifQ=="/>
  </w:docVars>
  <w:rsids>
    <w:rsidRoot w:val="00D5594F"/>
    <w:rsid w:val="00001A05"/>
    <w:rsid w:val="00001E72"/>
    <w:rsid w:val="000039A2"/>
    <w:rsid w:val="00005C61"/>
    <w:rsid w:val="00007CBF"/>
    <w:rsid w:val="0001339C"/>
    <w:rsid w:val="0001423A"/>
    <w:rsid w:val="00014853"/>
    <w:rsid w:val="00014CFF"/>
    <w:rsid w:val="000151D0"/>
    <w:rsid w:val="000162AF"/>
    <w:rsid w:val="00017C4B"/>
    <w:rsid w:val="00021DB8"/>
    <w:rsid w:val="00024306"/>
    <w:rsid w:val="0002524F"/>
    <w:rsid w:val="0002573E"/>
    <w:rsid w:val="000267C6"/>
    <w:rsid w:val="00027018"/>
    <w:rsid w:val="00032B44"/>
    <w:rsid w:val="00034849"/>
    <w:rsid w:val="00037209"/>
    <w:rsid w:val="00037A59"/>
    <w:rsid w:val="00037D1D"/>
    <w:rsid w:val="0004093F"/>
    <w:rsid w:val="00042185"/>
    <w:rsid w:val="000443EF"/>
    <w:rsid w:val="00044EA3"/>
    <w:rsid w:val="00051093"/>
    <w:rsid w:val="0005172D"/>
    <w:rsid w:val="00052C0B"/>
    <w:rsid w:val="000537C5"/>
    <w:rsid w:val="00053EE9"/>
    <w:rsid w:val="000545F1"/>
    <w:rsid w:val="00055003"/>
    <w:rsid w:val="00056B2E"/>
    <w:rsid w:val="00061128"/>
    <w:rsid w:val="00063C40"/>
    <w:rsid w:val="00065ED3"/>
    <w:rsid w:val="000679B6"/>
    <w:rsid w:val="00071700"/>
    <w:rsid w:val="00072177"/>
    <w:rsid w:val="000742A3"/>
    <w:rsid w:val="0007594A"/>
    <w:rsid w:val="00077CA5"/>
    <w:rsid w:val="00083DB2"/>
    <w:rsid w:val="00086722"/>
    <w:rsid w:val="0008699F"/>
    <w:rsid w:val="000869F2"/>
    <w:rsid w:val="00087D62"/>
    <w:rsid w:val="00091D71"/>
    <w:rsid w:val="000928AE"/>
    <w:rsid w:val="00096E3A"/>
    <w:rsid w:val="000974B3"/>
    <w:rsid w:val="000976FE"/>
    <w:rsid w:val="000977BC"/>
    <w:rsid w:val="000A0965"/>
    <w:rsid w:val="000A1626"/>
    <w:rsid w:val="000A3814"/>
    <w:rsid w:val="000A5425"/>
    <w:rsid w:val="000A54DF"/>
    <w:rsid w:val="000B23B9"/>
    <w:rsid w:val="000B4E65"/>
    <w:rsid w:val="000B55F4"/>
    <w:rsid w:val="000C0F11"/>
    <w:rsid w:val="000C6D72"/>
    <w:rsid w:val="000C7DC5"/>
    <w:rsid w:val="000D0649"/>
    <w:rsid w:val="000D3836"/>
    <w:rsid w:val="000D3AE4"/>
    <w:rsid w:val="000D4A9B"/>
    <w:rsid w:val="000D53EA"/>
    <w:rsid w:val="000D758D"/>
    <w:rsid w:val="000E106C"/>
    <w:rsid w:val="000E1D10"/>
    <w:rsid w:val="000E1DDA"/>
    <w:rsid w:val="000E2649"/>
    <w:rsid w:val="000E56A2"/>
    <w:rsid w:val="000F0510"/>
    <w:rsid w:val="000F0FA0"/>
    <w:rsid w:val="000F2DDC"/>
    <w:rsid w:val="000F3B58"/>
    <w:rsid w:val="000F3F57"/>
    <w:rsid w:val="000F48B2"/>
    <w:rsid w:val="000F6056"/>
    <w:rsid w:val="000F72C9"/>
    <w:rsid w:val="000F73D8"/>
    <w:rsid w:val="00100A90"/>
    <w:rsid w:val="00101233"/>
    <w:rsid w:val="00102339"/>
    <w:rsid w:val="00103873"/>
    <w:rsid w:val="001053F5"/>
    <w:rsid w:val="00105636"/>
    <w:rsid w:val="00106024"/>
    <w:rsid w:val="00107D4F"/>
    <w:rsid w:val="00111AD3"/>
    <w:rsid w:val="00112E15"/>
    <w:rsid w:val="0011377A"/>
    <w:rsid w:val="0011401B"/>
    <w:rsid w:val="00115786"/>
    <w:rsid w:val="00116BFC"/>
    <w:rsid w:val="0012163F"/>
    <w:rsid w:val="00121841"/>
    <w:rsid w:val="00131B99"/>
    <w:rsid w:val="00132273"/>
    <w:rsid w:val="00134959"/>
    <w:rsid w:val="00136ACD"/>
    <w:rsid w:val="00137EB8"/>
    <w:rsid w:val="00141159"/>
    <w:rsid w:val="00142D79"/>
    <w:rsid w:val="0014350F"/>
    <w:rsid w:val="00143A1B"/>
    <w:rsid w:val="00150D0F"/>
    <w:rsid w:val="00151C38"/>
    <w:rsid w:val="00152A65"/>
    <w:rsid w:val="00154C70"/>
    <w:rsid w:val="001553EE"/>
    <w:rsid w:val="00156933"/>
    <w:rsid w:val="00156C3B"/>
    <w:rsid w:val="00161A5C"/>
    <w:rsid w:val="00162A75"/>
    <w:rsid w:val="001636EE"/>
    <w:rsid w:val="00165CA0"/>
    <w:rsid w:val="00166A45"/>
    <w:rsid w:val="00167209"/>
    <w:rsid w:val="00171BD0"/>
    <w:rsid w:val="00171F47"/>
    <w:rsid w:val="001743F2"/>
    <w:rsid w:val="00174519"/>
    <w:rsid w:val="00174A5F"/>
    <w:rsid w:val="00175CFC"/>
    <w:rsid w:val="00177420"/>
    <w:rsid w:val="00177C83"/>
    <w:rsid w:val="0018022C"/>
    <w:rsid w:val="0018032F"/>
    <w:rsid w:val="001807EC"/>
    <w:rsid w:val="00182B27"/>
    <w:rsid w:val="00183576"/>
    <w:rsid w:val="00185FEE"/>
    <w:rsid w:val="00187175"/>
    <w:rsid w:val="001875FB"/>
    <w:rsid w:val="0019225F"/>
    <w:rsid w:val="00194C35"/>
    <w:rsid w:val="00195120"/>
    <w:rsid w:val="001964E0"/>
    <w:rsid w:val="001965CD"/>
    <w:rsid w:val="001A1E77"/>
    <w:rsid w:val="001A2839"/>
    <w:rsid w:val="001A2C9F"/>
    <w:rsid w:val="001A2E8A"/>
    <w:rsid w:val="001A31F8"/>
    <w:rsid w:val="001A3259"/>
    <w:rsid w:val="001A464C"/>
    <w:rsid w:val="001A5E4A"/>
    <w:rsid w:val="001A6677"/>
    <w:rsid w:val="001A6771"/>
    <w:rsid w:val="001A6D98"/>
    <w:rsid w:val="001B12F9"/>
    <w:rsid w:val="001B19B0"/>
    <w:rsid w:val="001B4303"/>
    <w:rsid w:val="001B54C4"/>
    <w:rsid w:val="001B7510"/>
    <w:rsid w:val="001B7B97"/>
    <w:rsid w:val="001C129C"/>
    <w:rsid w:val="001C45DA"/>
    <w:rsid w:val="001C62F7"/>
    <w:rsid w:val="001C6A86"/>
    <w:rsid w:val="001D27EC"/>
    <w:rsid w:val="001D3FB1"/>
    <w:rsid w:val="001E48A0"/>
    <w:rsid w:val="001E6A48"/>
    <w:rsid w:val="001E6D71"/>
    <w:rsid w:val="001E7175"/>
    <w:rsid w:val="001E77C2"/>
    <w:rsid w:val="001F027B"/>
    <w:rsid w:val="001F1EF5"/>
    <w:rsid w:val="001F39E1"/>
    <w:rsid w:val="001F3AB6"/>
    <w:rsid w:val="001F5357"/>
    <w:rsid w:val="001F574B"/>
    <w:rsid w:val="001F7570"/>
    <w:rsid w:val="002003AC"/>
    <w:rsid w:val="002011A6"/>
    <w:rsid w:val="0020170B"/>
    <w:rsid w:val="00201C95"/>
    <w:rsid w:val="0020261B"/>
    <w:rsid w:val="002029A5"/>
    <w:rsid w:val="002035C0"/>
    <w:rsid w:val="00203CA4"/>
    <w:rsid w:val="00204611"/>
    <w:rsid w:val="002069B8"/>
    <w:rsid w:val="002114B0"/>
    <w:rsid w:val="002146EB"/>
    <w:rsid w:val="00216B49"/>
    <w:rsid w:val="0022016C"/>
    <w:rsid w:val="00220565"/>
    <w:rsid w:val="002208F4"/>
    <w:rsid w:val="00220B7D"/>
    <w:rsid w:val="002224A2"/>
    <w:rsid w:val="00223405"/>
    <w:rsid w:val="00224EB2"/>
    <w:rsid w:val="00232639"/>
    <w:rsid w:val="00234381"/>
    <w:rsid w:val="0023494D"/>
    <w:rsid w:val="00235000"/>
    <w:rsid w:val="00235369"/>
    <w:rsid w:val="0023762D"/>
    <w:rsid w:val="00237F9C"/>
    <w:rsid w:val="00240C12"/>
    <w:rsid w:val="00240CF9"/>
    <w:rsid w:val="002442AE"/>
    <w:rsid w:val="00244703"/>
    <w:rsid w:val="00245668"/>
    <w:rsid w:val="0025236D"/>
    <w:rsid w:val="00262AE8"/>
    <w:rsid w:val="00263F7C"/>
    <w:rsid w:val="00264088"/>
    <w:rsid w:val="00270E23"/>
    <w:rsid w:val="002726EB"/>
    <w:rsid w:val="00272A5F"/>
    <w:rsid w:val="00274967"/>
    <w:rsid w:val="002756C7"/>
    <w:rsid w:val="0027625E"/>
    <w:rsid w:val="00277602"/>
    <w:rsid w:val="00277AEE"/>
    <w:rsid w:val="00280837"/>
    <w:rsid w:val="0028143C"/>
    <w:rsid w:val="002843D7"/>
    <w:rsid w:val="00284700"/>
    <w:rsid w:val="002920D6"/>
    <w:rsid w:val="00292303"/>
    <w:rsid w:val="0029237D"/>
    <w:rsid w:val="002966C8"/>
    <w:rsid w:val="0029710E"/>
    <w:rsid w:val="002A051C"/>
    <w:rsid w:val="002A0584"/>
    <w:rsid w:val="002A0C6B"/>
    <w:rsid w:val="002A2F52"/>
    <w:rsid w:val="002A41C8"/>
    <w:rsid w:val="002A42EC"/>
    <w:rsid w:val="002A70DB"/>
    <w:rsid w:val="002B0155"/>
    <w:rsid w:val="002B0A44"/>
    <w:rsid w:val="002B0DF2"/>
    <w:rsid w:val="002B1E07"/>
    <w:rsid w:val="002B45AB"/>
    <w:rsid w:val="002B50F2"/>
    <w:rsid w:val="002C0150"/>
    <w:rsid w:val="002C441F"/>
    <w:rsid w:val="002C4D46"/>
    <w:rsid w:val="002C5106"/>
    <w:rsid w:val="002C7C93"/>
    <w:rsid w:val="002D1886"/>
    <w:rsid w:val="002D294A"/>
    <w:rsid w:val="002D3BA3"/>
    <w:rsid w:val="002D4DDB"/>
    <w:rsid w:val="002D570F"/>
    <w:rsid w:val="002D7B75"/>
    <w:rsid w:val="002E00BE"/>
    <w:rsid w:val="002E1273"/>
    <w:rsid w:val="002E2ADF"/>
    <w:rsid w:val="002E4B26"/>
    <w:rsid w:val="002E6524"/>
    <w:rsid w:val="002E69D4"/>
    <w:rsid w:val="002F029C"/>
    <w:rsid w:val="002F19D6"/>
    <w:rsid w:val="002F2296"/>
    <w:rsid w:val="002F2621"/>
    <w:rsid w:val="002F66B4"/>
    <w:rsid w:val="00302252"/>
    <w:rsid w:val="00304097"/>
    <w:rsid w:val="00306E89"/>
    <w:rsid w:val="00307FA6"/>
    <w:rsid w:val="00310748"/>
    <w:rsid w:val="003123C9"/>
    <w:rsid w:val="0031762E"/>
    <w:rsid w:val="003208F2"/>
    <w:rsid w:val="00322935"/>
    <w:rsid w:val="00322D76"/>
    <w:rsid w:val="00323592"/>
    <w:rsid w:val="0032597F"/>
    <w:rsid w:val="0032748C"/>
    <w:rsid w:val="00331944"/>
    <w:rsid w:val="00331CEE"/>
    <w:rsid w:val="00335883"/>
    <w:rsid w:val="00336D0E"/>
    <w:rsid w:val="00337A3A"/>
    <w:rsid w:val="00343C71"/>
    <w:rsid w:val="00343DD6"/>
    <w:rsid w:val="00343E47"/>
    <w:rsid w:val="00343F03"/>
    <w:rsid w:val="00345347"/>
    <w:rsid w:val="00346BBD"/>
    <w:rsid w:val="0034726D"/>
    <w:rsid w:val="00350A26"/>
    <w:rsid w:val="003514E7"/>
    <w:rsid w:val="003529D6"/>
    <w:rsid w:val="00354F68"/>
    <w:rsid w:val="0035587F"/>
    <w:rsid w:val="00356597"/>
    <w:rsid w:val="00356FC7"/>
    <w:rsid w:val="00360787"/>
    <w:rsid w:val="00363D5C"/>
    <w:rsid w:val="003660D9"/>
    <w:rsid w:val="00367AAA"/>
    <w:rsid w:val="00371D09"/>
    <w:rsid w:val="0037214C"/>
    <w:rsid w:val="00374343"/>
    <w:rsid w:val="00374D38"/>
    <w:rsid w:val="00376901"/>
    <w:rsid w:val="003772E8"/>
    <w:rsid w:val="00381BF0"/>
    <w:rsid w:val="003837FF"/>
    <w:rsid w:val="00383DBC"/>
    <w:rsid w:val="003841E1"/>
    <w:rsid w:val="00384C7D"/>
    <w:rsid w:val="0038661E"/>
    <w:rsid w:val="00386845"/>
    <w:rsid w:val="0038736C"/>
    <w:rsid w:val="003900E6"/>
    <w:rsid w:val="00391AE6"/>
    <w:rsid w:val="00391C37"/>
    <w:rsid w:val="0039257C"/>
    <w:rsid w:val="00393F01"/>
    <w:rsid w:val="00394B51"/>
    <w:rsid w:val="003A0BE0"/>
    <w:rsid w:val="003A2F3F"/>
    <w:rsid w:val="003A4872"/>
    <w:rsid w:val="003A6B89"/>
    <w:rsid w:val="003A77E6"/>
    <w:rsid w:val="003B00F2"/>
    <w:rsid w:val="003B25E2"/>
    <w:rsid w:val="003B38F9"/>
    <w:rsid w:val="003B5370"/>
    <w:rsid w:val="003C1347"/>
    <w:rsid w:val="003C2928"/>
    <w:rsid w:val="003C2AB5"/>
    <w:rsid w:val="003C2B47"/>
    <w:rsid w:val="003C2C86"/>
    <w:rsid w:val="003C3300"/>
    <w:rsid w:val="003C37FB"/>
    <w:rsid w:val="003C4CA9"/>
    <w:rsid w:val="003C6285"/>
    <w:rsid w:val="003D2874"/>
    <w:rsid w:val="003D59D0"/>
    <w:rsid w:val="003D64C7"/>
    <w:rsid w:val="003D76B1"/>
    <w:rsid w:val="003E33C4"/>
    <w:rsid w:val="003E5127"/>
    <w:rsid w:val="003E7EB3"/>
    <w:rsid w:val="003F0BC9"/>
    <w:rsid w:val="003F0FDF"/>
    <w:rsid w:val="003F1B37"/>
    <w:rsid w:val="003F2009"/>
    <w:rsid w:val="003F392C"/>
    <w:rsid w:val="003F455D"/>
    <w:rsid w:val="003F4BF5"/>
    <w:rsid w:val="003F6327"/>
    <w:rsid w:val="003F6EEF"/>
    <w:rsid w:val="003F75D3"/>
    <w:rsid w:val="003F7B51"/>
    <w:rsid w:val="00405673"/>
    <w:rsid w:val="004065DD"/>
    <w:rsid w:val="004072E4"/>
    <w:rsid w:val="00413DD7"/>
    <w:rsid w:val="00413F82"/>
    <w:rsid w:val="004163BB"/>
    <w:rsid w:val="00420AFF"/>
    <w:rsid w:val="00423FA0"/>
    <w:rsid w:val="00424B15"/>
    <w:rsid w:val="00426C5B"/>
    <w:rsid w:val="00427DAC"/>
    <w:rsid w:val="00430169"/>
    <w:rsid w:val="00432FB1"/>
    <w:rsid w:val="004340D9"/>
    <w:rsid w:val="00436405"/>
    <w:rsid w:val="0043694B"/>
    <w:rsid w:val="004432BC"/>
    <w:rsid w:val="004509A8"/>
    <w:rsid w:val="00453B47"/>
    <w:rsid w:val="0045426C"/>
    <w:rsid w:val="0045475A"/>
    <w:rsid w:val="004548F3"/>
    <w:rsid w:val="00456F17"/>
    <w:rsid w:val="00461D57"/>
    <w:rsid w:val="00462511"/>
    <w:rsid w:val="0046497F"/>
    <w:rsid w:val="004649C9"/>
    <w:rsid w:val="0046693A"/>
    <w:rsid w:val="00466BD2"/>
    <w:rsid w:val="00467881"/>
    <w:rsid w:val="004679BF"/>
    <w:rsid w:val="00477FB1"/>
    <w:rsid w:val="004862D4"/>
    <w:rsid w:val="004906F7"/>
    <w:rsid w:val="00491952"/>
    <w:rsid w:val="00492499"/>
    <w:rsid w:val="0049314D"/>
    <w:rsid w:val="0049344A"/>
    <w:rsid w:val="004936EA"/>
    <w:rsid w:val="00493B67"/>
    <w:rsid w:val="00497493"/>
    <w:rsid w:val="004A323B"/>
    <w:rsid w:val="004A33B6"/>
    <w:rsid w:val="004A36C5"/>
    <w:rsid w:val="004A4ADB"/>
    <w:rsid w:val="004A55EE"/>
    <w:rsid w:val="004A57FD"/>
    <w:rsid w:val="004A6E11"/>
    <w:rsid w:val="004A6F5C"/>
    <w:rsid w:val="004B4724"/>
    <w:rsid w:val="004B6803"/>
    <w:rsid w:val="004C258F"/>
    <w:rsid w:val="004C2B84"/>
    <w:rsid w:val="004C3BCE"/>
    <w:rsid w:val="004C456A"/>
    <w:rsid w:val="004C45AB"/>
    <w:rsid w:val="004C4E64"/>
    <w:rsid w:val="004C5E0B"/>
    <w:rsid w:val="004D0F68"/>
    <w:rsid w:val="004D26AF"/>
    <w:rsid w:val="004D3E3E"/>
    <w:rsid w:val="004D60B5"/>
    <w:rsid w:val="004D61B5"/>
    <w:rsid w:val="004D6400"/>
    <w:rsid w:val="004D7C53"/>
    <w:rsid w:val="004E0451"/>
    <w:rsid w:val="004E0FBC"/>
    <w:rsid w:val="004E1A92"/>
    <w:rsid w:val="004E2CE8"/>
    <w:rsid w:val="004E4ABF"/>
    <w:rsid w:val="004E7273"/>
    <w:rsid w:val="004F05DB"/>
    <w:rsid w:val="004F33DF"/>
    <w:rsid w:val="004F4487"/>
    <w:rsid w:val="004F4D3F"/>
    <w:rsid w:val="004F741B"/>
    <w:rsid w:val="004F76DA"/>
    <w:rsid w:val="004F7DE1"/>
    <w:rsid w:val="00501E2E"/>
    <w:rsid w:val="005028D1"/>
    <w:rsid w:val="00503EC1"/>
    <w:rsid w:val="00505FE7"/>
    <w:rsid w:val="00506D56"/>
    <w:rsid w:val="00507F2A"/>
    <w:rsid w:val="005101C2"/>
    <w:rsid w:val="005106F2"/>
    <w:rsid w:val="00516FDA"/>
    <w:rsid w:val="005214B6"/>
    <w:rsid w:val="005217B3"/>
    <w:rsid w:val="005223B2"/>
    <w:rsid w:val="005226BF"/>
    <w:rsid w:val="005229E3"/>
    <w:rsid w:val="00525035"/>
    <w:rsid w:val="005258FC"/>
    <w:rsid w:val="00526F56"/>
    <w:rsid w:val="00527435"/>
    <w:rsid w:val="005313C7"/>
    <w:rsid w:val="00533E22"/>
    <w:rsid w:val="00540FB6"/>
    <w:rsid w:val="0054359A"/>
    <w:rsid w:val="0054359F"/>
    <w:rsid w:val="00545CEF"/>
    <w:rsid w:val="00550182"/>
    <w:rsid w:val="00551EF6"/>
    <w:rsid w:val="005536F3"/>
    <w:rsid w:val="005548DE"/>
    <w:rsid w:val="00557C46"/>
    <w:rsid w:val="00560B6C"/>
    <w:rsid w:val="0056200A"/>
    <w:rsid w:val="005621D3"/>
    <w:rsid w:val="00563494"/>
    <w:rsid w:val="00563C99"/>
    <w:rsid w:val="0056622A"/>
    <w:rsid w:val="005666C9"/>
    <w:rsid w:val="00567804"/>
    <w:rsid w:val="00567D0C"/>
    <w:rsid w:val="00567F0B"/>
    <w:rsid w:val="00570211"/>
    <w:rsid w:val="00570A42"/>
    <w:rsid w:val="00571957"/>
    <w:rsid w:val="005724AD"/>
    <w:rsid w:val="00573DE9"/>
    <w:rsid w:val="00574134"/>
    <w:rsid w:val="00580E40"/>
    <w:rsid w:val="005819B3"/>
    <w:rsid w:val="00581ACA"/>
    <w:rsid w:val="00581B9B"/>
    <w:rsid w:val="00581E53"/>
    <w:rsid w:val="00582288"/>
    <w:rsid w:val="00582C71"/>
    <w:rsid w:val="00582DF7"/>
    <w:rsid w:val="00586BB0"/>
    <w:rsid w:val="0059031F"/>
    <w:rsid w:val="00591A90"/>
    <w:rsid w:val="0059316D"/>
    <w:rsid w:val="00595066"/>
    <w:rsid w:val="00597421"/>
    <w:rsid w:val="005974D0"/>
    <w:rsid w:val="005A1C64"/>
    <w:rsid w:val="005A4D1E"/>
    <w:rsid w:val="005A6324"/>
    <w:rsid w:val="005B00AC"/>
    <w:rsid w:val="005B051E"/>
    <w:rsid w:val="005B076F"/>
    <w:rsid w:val="005B0A83"/>
    <w:rsid w:val="005B12AA"/>
    <w:rsid w:val="005B1B64"/>
    <w:rsid w:val="005B3F7E"/>
    <w:rsid w:val="005B5276"/>
    <w:rsid w:val="005B5856"/>
    <w:rsid w:val="005B6A4A"/>
    <w:rsid w:val="005C07A8"/>
    <w:rsid w:val="005C0A22"/>
    <w:rsid w:val="005C29AD"/>
    <w:rsid w:val="005C2E30"/>
    <w:rsid w:val="005C392A"/>
    <w:rsid w:val="005C486D"/>
    <w:rsid w:val="005C7190"/>
    <w:rsid w:val="005C74B8"/>
    <w:rsid w:val="005D158A"/>
    <w:rsid w:val="005D1912"/>
    <w:rsid w:val="005D252B"/>
    <w:rsid w:val="005D43D1"/>
    <w:rsid w:val="005E24B5"/>
    <w:rsid w:val="005E2E22"/>
    <w:rsid w:val="005E35A9"/>
    <w:rsid w:val="005E4AC3"/>
    <w:rsid w:val="005E5AFC"/>
    <w:rsid w:val="005E653C"/>
    <w:rsid w:val="005E6FAB"/>
    <w:rsid w:val="005E7699"/>
    <w:rsid w:val="005E7A5A"/>
    <w:rsid w:val="005F0653"/>
    <w:rsid w:val="005F07C3"/>
    <w:rsid w:val="005F0B13"/>
    <w:rsid w:val="005F0E2A"/>
    <w:rsid w:val="005F3D6C"/>
    <w:rsid w:val="005F5A89"/>
    <w:rsid w:val="005F6DF5"/>
    <w:rsid w:val="00603CFC"/>
    <w:rsid w:val="006045F8"/>
    <w:rsid w:val="00607490"/>
    <w:rsid w:val="0061212D"/>
    <w:rsid w:val="00613365"/>
    <w:rsid w:val="006151E2"/>
    <w:rsid w:val="006168A3"/>
    <w:rsid w:val="00617F6A"/>
    <w:rsid w:val="00622AA2"/>
    <w:rsid w:val="00622C11"/>
    <w:rsid w:val="00623E1B"/>
    <w:rsid w:val="00624CF8"/>
    <w:rsid w:val="006258AE"/>
    <w:rsid w:val="00627905"/>
    <w:rsid w:val="006373F1"/>
    <w:rsid w:val="0064084C"/>
    <w:rsid w:val="00641B83"/>
    <w:rsid w:val="006453E4"/>
    <w:rsid w:val="006459F3"/>
    <w:rsid w:val="00647F3A"/>
    <w:rsid w:val="00650B9B"/>
    <w:rsid w:val="00651D0D"/>
    <w:rsid w:val="00652998"/>
    <w:rsid w:val="006533DC"/>
    <w:rsid w:val="00653D26"/>
    <w:rsid w:val="006545BF"/>
    <w:rsid w:val="00656290"/>
    <w:rsid w:val="00656E9B"/>
    <w:rsid w:val="00661332"/>
    <w:rsid w:val="00661B59"/>
    <w:rsid w:val="00662DEE"/>
    <w:rsid w:val="00664EC9"/>
    <w:rsid w:val="00666061"/>
    <w:rsid w:val="00670BE8"/>
    <w:rsid w:val="00670E31"/>
    <w:rsid w:val="00672200"/>
    <w:rsid w:val="006742F0"/>
    <w:rsid w:val="00676625"/>
    <w:rsid w:val="00681FF6"/>
    <w:rsid w:val="00682569"/>
    <w:rsid w:val="00685A01"/>
    <w:rsid w:val="00686457"/>
    <w:rsid w:val="006868FC"/>
    <w:rsid w:val="00690C02"/>
    <w:rsid w:val="0069243F"/>
    <w:rsid w:val="00692D52"/>
    <w:rsid w:val="00694095"/>
    <w:rsid w:val="00694D5C"/>
    <w:rsid w:val="00695677"/>
    <w:rsid w:val="00696179"/>
    <w:rsid w:val="00696A68"/>
    <w:rsid w:val="00696BDB"/>
    <w:rsid w:val="006A0041"/>
    <w:rsid w:val="006A1D17"/>
    <w:rsid w:val="006A2280"/>
    <w:rsid w:val="006A279E"/>
    <w:rsid w:val="006A337F"/>
    <w:rsid w:val="006A3553"/>
    <w:rsid w:val="006A4124"/>
    <w:rsid w:val="006A4337"/>
    <w:rsid w:val="006A59B0"/>
    <w:rsid w:val="006A6641"/>
    <w:rsid w:val="006A728A"/>
    <w:rsid w:val="006A78BF"/>
    <w:rsid w:val="006B3BF4"/>
    <w:rsid w:val="006B6012"/>
    <w:rsid w:val="006B7C13"/>
    <w:rsid w:val="006C2D06"/>
    <w:rsid w:val="006C37E0"/>
    <w:rsid w:val="006C395F"/>
    <w:rsid w:val="006C508B"/>
    <w:rsid w:val="006C7524"/>
    <w:rsid w:val="006C7725"/>
    <w:rsid w:val="006D03D0"/>
    <w:rsid w:val="006D07F2"/>
    <w:rsid w:val="006D1710"/>
    <w:rsid w:val="006D2075"/>
    <w:rsid w:val="006D3658"/>
    <w:rsid w:val="006D3718"/>
    <w:rsid w:val="006D3994"/>
    <w:rsid w:val="006D410C"/>
    <w:rsid w:val="006D4DC8"/>
    <w:rsid w:val="006D595B"/>
    <w:rsid w:val="006D7416"/>
    <w:rsid w:val="006E078F"/>
    <w:rsid w:val="006E0D22"/>
    <w:rsid w:val="006E5076"/>
    <w:rsid w:val="006E7148"/>
    <w:rsid w:val="006E7174"/>
    <w:rsid w:val="006F078D"/>
    <w:rsid w:val="006F0D43"/>
    <w:rsid w:val="006F1576"/>
    <w:rsid w:val="006F4163"/>
    <w:rsid w:val="006F63DD"/>
    <w:rsid w:val="006F700B"/>
    <w:rsid w:val="00702E4A"/>
    <w:rsid w:val="0070361B"/>
    <w:rsid w:val="0070634C"/>
    <w:rsid w:val="0070771E"/>
    <w:rsid w:val="00710118"/>
    <w:rsid w:val="00712DFC"/>
    <w:rsid w:val="00714306"/>
    <w:rsid w:val="00715968"/>
    <w:rsid w:val="00716082"/>
    <w:rsid w:val="00716A00"/>
    <w:rsid w:val="0072444A"/>
    <w:rsid w:val="00724E17"/>
    <w:rsid w:val="00725BD6"/>
    <w:rsid w:val="00732512"/>
    <w:rsid w:val="007342B5"/>
    <w:rsid w:val="00737298"/>
    <w:rsid w:val="007374DC"/>
    <w:rsid w:val="0073799C"/>
    <w:rsid w:val="00746613"/>
    <w:rsid w:val="00746F99"/>
    <w:rsid w:val="007477F8"/>
    <w:rsid w:val="00750FAC"/>
    <w:rsid w:val="007512D8"/>
    <w:rsid w:val="00751AD9"/>
    <w:rsid w:val="00751EB2"/>
    <w:rsid w:val="00752CE7"/>
    <w:rsid w:val="007563BF"/>
    <w:rsid w:val="0076353A"/>
    <w:rsid w:val="0076416F"/>
    <w:rsid w:val="007657C0"/>
    <w:rsid w:val="00766448"/>
    <w:rsid w:val="00767B56"/>
    <w:rsid w:val="00770723"/>
    <w:rsid w:val="00770F42"/>
    <w:rsid w:val="00771B11"/>
    <w:rsid w:val="00773104"/>
    <w:rsid w:val="007731EF"/>
    <w:rsid w:val="00773906"/>
    <w:rsid w:val="0077426A"/>
    <w:rsid w:val="00776BA9"/>
    <w:rsid w:val="00776D55"/>
    <w:rsid w:val="007811D9"/>
    <w:rsid w:val="00781336"/>
    <w:rsid w:val="007820D7"/>
    <w:rsid w:val="00783D95"/>
    <w:rsid w:val="0078585D"/>
    <w:rsid w:val="00785D1E"/>
    <w:rsid w:val="00791A3C"/>
    <w:rsid w:val="007942E2"/>
    <w:rsid w:val="00796D28"/>
    <w:rsid w:val="007A1445"/>
    <w:rsid w:val="007A29F7"/>
    <w:rsid w:val="007A449F"/>
    <w:rsid w:val="007B10FE"/>
    <w:rsid w:val="007B18D6"/>
    <w:rsid w:val="007B1CA9"/>
    <w:rsid w:val="007B1F03"/>
    <w:rsid w:val="007B58FD"/>
    <w:rsid w:val="007B5975"/>
    <w:rsid w:val="007B640B"/>
    <w:rsid w:val="007C0826"/>
    <w:rsid w:val="007C143A"/>
    <w:rsid w:val="007C4E4E"/>
    <w:rsid w:val="007C6457"/>
    <w:rsid w:val="007C713E"/>
    <w:rsid w:val="007D0751"/>
    <w:rsid w:val="007D0861"/>
    <w:rsid w:val="007D2FFE"/>
    <w:rsid w:val="007D7C2D"/>
    <w:rsid w:val="007E139F"/>
    <w:rsid w:val="007E13A6"/>
    <w:rsid w:val="007E1461"/>
    <w:rsid w:val="007E19AA"/>
    <w:rsid w:val="007E2209"/>
    <w:rsid w:val="007E2F44"/>
    <w:rsid w:val="007E30A1"/>
    <w:rsid w:val="007E439A"/>
    <w:rsid w:val="007E43FA"/>
    <w:rsid w:val="007E4B24"/>
    <w:rsid w:val="007E7D04"/>
    <w:rsid w:val="007F386B"/>
    <w:rsid w:val="007F4195"/>
    <w:rsid w:val="00800C78"/>
    <w:rsid w:val="00804AB9"/>
    <w:rsid w:val="0080696A"/>
    <w:rsid w:val="008075B4"/>
    <w:rsid w:val="00807983"/>
    <w:rsid w:val="00814E17"/>
    <w:rsid w:val="0081585C"/>
    <w:rsid w:val="00816AE2"/>
    <w:rsid w:val="00820471"/>
    <w:rsid w:val="00820502"/>
    <w:rsid w:val="00821DDF"/>
    <w:rsid w:val="00823341"/>
    <w:rsid w:val="008241D6"/>
    <w:rsid w:val="008258E1"/>
    <w:rsid w:val="00827F97"/>
    <w:rsid w:val="008301AF"/>
    <w:rsid w:val="00830F26"/>
    <w:rsid w:val="00832A30"/>
    <w:rsid w:val="00834750"/>
    <w:rsid w:val="00835C03"/>
    <w:rsid w:val="00837922"/>
    <w:rsid w:val="00840213"/>
    <w:rsid w:val="008412C7"/>
    <w:rsid w:val="0084130F"/>
    <w:rsid w:val="00841CC6"/>
    <w:rsid w:val="00842881"/>
    <w:rsid w:val="0084606B"/>
    <w:rsid w:val="00846689"/>
    <w:rsid w:val="00846DE4"/>
    <w:rsid w:val="00850EB2"/>
    <w:rsid w:val="008516E2"/>
    <w:rsid w:val="00851880"/>
    <w:rsid w:val="00852818"/>
    <w:rsid w:val="00853959"/>
    <w:rsid w:val="008551CB"/>
    <w:rsid w:val="0085786F"/>
    <w:rsid w:val="00857B2D"/>
    <w:rsid w:val="0086046C"/>
    <w:rsid w:val="00860B82"/>
    <w:rsid w:val="00862795"/>
    <w:rsid w:val="00863743"/>
    <w:rsid w:val="00870C82"/>
    <w:rsid w:val="00873C4A"/>
    <w:rsid w:val="00875247"/>
    <w:rsid w:val="00876E69"/>
    <w:rsid w:val="008770F9"/>
    <w:rsid w:val="008771CA"/>
    <w:rsid w:val="00880B6A"/>
    <w:rsid w:val="00882618"/>
    <w:rsid w:val="00882F75"/>
    <w:rsid w:val="00884B72"/>
    <w:rsid w:val="008857FA"/>
    <w:rsid w:val="00887009"/>
    <w:rsid w:val="00891130"/>
    <w:rsid w:val="00896179"/>
    <w:rsid w:val="00896D0D"/>
    <w:rsid w:val="008978F5"/>
    <w:rsid w:val="00897930"/>
    <w:rsid w:val="008A08BB"/>
    <w:rsid w:val="008A1B0F"/>
    <w:rsid w:val="008A6233"/>
    <w:rsid w:val="008A7C83"/>
    <w:rsid w:val="008B0285"/>
    <w:rsid w:val="008B0BE0"/>
    <w:rsid w:val="008B3009"/>
    <w:rsid w:val="008B309A"/>
    <w:rsid w:val="008B4F2B"/>
    <w:rsid w:val="008B54A2"/>
    <w:rsid w:val="008B6B04"/>
    <w:rsid w:val="008C051E"/>
    <w:rsid w:val="008C26AB"/>
    <w:rsid w:val="008C3CE3"/>
    <w:rsid w:val="008C69C2"/>
    <w:rsid w:val="008D0C4D"/>
    <w:rsid w:val="008D1D71"/>
    <w:rsid w:val="008D1FC2"/>
    <w:rsid w:val="008D4497"/>
    <w:rsid w:val="008D7107"/>
    <w:rsid w:val="008E0CA5"/>
    <w:rsid w:val="008E1C6E"/>
    <w:rsid w:val="008E25A9"/>
    <w:rsid w:val="008E2E8C"/>
    <w:rsid w:val="008E48AF"/>
    <w:rsid w:val="008E509A"/>
    <w:rsid w:val="008E5FFC"/>
    <w:rsid w:val="008E6124"/>
    <w:rsid w:val="008E6A16"/>
    <w:rsid w:val="008F41E1"/>
    <w:rsid w:val="008F523C"/>
    <w:rsid w:val="008F6B83"/>
    <w:rsid w:val="008F7010"/>
    <w:rsid w:val="008F76C8"/>
    <w:rsid w:val="0090193A"/>
    <w:rsid w:val="0090206A"/>
    <w:rsid w:val="00903D3E"/>
    <w:rsid w:val="00906137"/>
    <w:rsid w:val="00906916"/>
    <w:rsid w:val="00906DD9"/>
    <w:rsid w:val="0091121A"/>
    <w:rsid w:val="00911360"/>
    <w:rsid w:val="00911EE6"/>
    <w:rsid w:val="009132A6"/>
    <w:rsid w:val="00914B50"/>
    <w:rsid w:val="00917B87"/>
    <w:rsid w:val="009201A0"/>
    <w:rsid w:val="009203EC"/>
    <w:rsid w:val="00920AC9"/>
    <w:rsid w:val="009229C9"/>
    <w:rsid w:val="0092521E"/>
    <w:rsid w:val="00925737"/>
    <w:rsid w:val="00927F75"/>
    <w:rsid w:val="00930214"/>
    <w:rsid w:val="00930846"/>
    <w:rsid w:val="00930C86"/>
    <w:rsid w:val="00932920"/>
    <w:rsid w:val="00932D05"/>
    <w:rsid w:val="00934973"/>
    <w:rsid w:val="0094264C"/>
    <w:rsid w:val="00945A4D"/>
    <w:rsid w:val="00945CC4"/>
    <w:rsid w:val="009463B0"/>
    <w:rsid w:val="00946BB8"/>
    <w:rsid w:val="0095148E"/>
    <w:rsid w:val="009526C4"/>
    <w:rsid w:val="00954924"/>
    <w:rsid w:val="009549BB"/>
    <w:rsid w:val="009555F9"/>
    <w:rsid w:val="00960542"/>
    <w:rsid w:val="00965B45"/>
    <w:rsid w:val="00965FCC"/>
    <w:rsid w:val="0097111A"/>
    <w:rsid w:val="00971B57"/>
    <w:rsid w:val="0097645A"/>
    <w:rsid w:val="009773D2"/>
    <w:rsid w:val="00977D0C"/>
    <w:rsid w:val="00980033"/>
    <w:rsid w:val="00980DC3"/>
    <w:rsid w:val="00981AA9"/>
    <w:rsid w:val="00983EE2"/>
    <w:rsid w:val="00990A09"/>
    <w:rsid w:val="00990A73"/>
    <w:rsid w:val="0099251A"/>
    <w:rsid w:val="00994271"/>
    <w:rsid w:val="00995853"/>
    <w:rsid w:val="00996EDB"/>
    <w:rsid w:val="009A027F"/>
    <w:rsid w:val="009A1088"/>
    <w:rsid w:val="009A3FE6"/>
    <w:rsid w:val="009A568C"/>
    <w:rsid w:val="009A596A"/>
    <w:rsid w:val="009B3A95"/>
    <w:rsid w:val="009B4C1C"/>
    <w:rsid w:val="009B5DAA"/>
    <w:rsid w:val="009B7A59"/>
    <w:rsid w:val="009B7EC8"/>
    <w:rsid w:val="009C0B94"/>
    <w:rsid w:val="009C0F49"/>
    <w:rsid w:val="009C1852"/>
    <w:rsid w:val="009C2ED4"/>
    <w:rsid w:val="009C2EF8"/>
    <w:rsid w:val="009C349C"/>
    <w:rsid w:val="009C3DE8"/>
    <w:rsid w:val="009C5976"/>
    <w:rsid w:val="009C5FE0"/>
    <w:rsid w:val="009C6D85"/>
    <w:rsid w:val="009C6F17"/>
    <w:rsid w:val="009C79D4"/>
    <w:rsid w:val="009C7D01"/>
    <w:rsid w:val="009D2715"/>
    <w:rsid w:val="009D2D4E"/>
    <w:rsid w:val="009D33D1"/>
    <w:rsid w:val="009D60F3"/>
    <w:rsid w:val="009D6EAE"/>
    <w:rsid w:val="009D7A4E"/>
    <w:rsid w:val="009E00EE"/>
    <w:rsid w:val="009E2C76"/>
    <w:rsid w:val="009E320D"/>
    <w:rsid w:val="009E54ED"/>
    <w:rsid w:val="009F1D8D"/>
    <w:rsid w:val="009F267E"/>
    <w:rsid w:val="009F26F9"/>
    <w:rsid w:val="009F38CA"/>
    <w:rsid w:val="009F4D82"/>
    <w:rsid w:val="009F5750"/>
    <w:rsid w:val="009F609A"/>
    <w:rsid w:val="009F68B5"/>
    <w:rsid w:val="009F76CF"/>
    <w:rsid w:val="00A01044"/>
    <w:rsid w:val="00A01CF8"/>
    <w:rsid w:val="00A020BF"/>
    <w:rsid w:val="00A06917"/>
    <w:rsid w:val="00A11BC2"/>
    <w:rsid w:val="00A11E85"/>
    <w:rsid w:val="00A1309F"/>
    <w:rsid w:val="00A15355"/>
    <w:rsid w:val="00A15F72"/>
    <w:rsid w:val="00A20981"/>
    <w:rsid w:val="00A2152F"/>
    <w:rsid w:val="00A221BA"/>
    <w:rsid w:val="00A22DD3"/>
    <w:rsid w:val="00A25FFB"/>
    <w:rsid w:val="00A32B65"/>
    <w:rsid w:val="00A33159"/>
    <w:rsid w:val="00A359DC"/>
    <w:rsid w:val="00A402DE"/>
    <w:rsid w:val="00A41C5A"/>
    <w:rsid w:val="00A43537"/>
    <w:rsid w:val="00A441BF"/>
    <w:rsid w:val="00A460BA"/>
    <w:rsid w:val="00A4664B"/>
    <w:rsid w:val="00A46820"/>
    <w:rsid w:val="00A527C4"/>
    <w:rsid w:val="00A57A69"/>
    <w:rsid w:val="00A61070"/>
    <w:rsid w:val="00A624A6"/>
    <w:rsid w:val="00A625BD"/>
    <w:rsid w:val="00A62D9B"/>
    <w:rsid w:val="00A6382B"/>
    <w:rsid w:val="00A65540"/>
    <w:rsid w:val="00A656A0"/>
    <w:rsid w:val="00A65AF7"/>
    <w:rsid w:val="00A679DA"/>
    <w:rsid w:val="00A67C0D"/>
    <w:rsid w:val="00A71A3C"/>
    <w:rsid w:val="00A745D3"/>
    <w:rsid w:val="00A7510B"/>
    <w:rsid w:val="00A75446"/>
    <w:rsid w:val="00A84ED4"/>
    <w:rsid w:val="00A85606"/>
    <w:rsid w:val="00A861E7"/>
    <w:rsid w:val="00A86ECD"/>
    <w:rsid w:val="00A87A1A"/>
    <w:rsid w:val="00A87D7C"/>
    <w:rsid w:val="00A90028"/>
    <w:rsid w:val="00A93DCF"/>
    <w:rsid w:val="00A95F12"/>
    <w:rsid w:val="00A96336"/>
    <w:rsid w:val="00A96AAD"/>
    <w:rsid w:val="00AA066B"/>
    <w:rsid w:val="00AA0C16"/>
    <w:rsid w:val="00AA1958"/>
    <w:rsid w:val="00AA195B"/>
    <w:rsid w:val="00AA2194"/>
    <w:rsid w:val="00AA5087"/>
    <w:rsid w:val="00AA5A74"/>
    <w:rsid w:val="00AA5FAF"/>
    <w:rsid w:val="00AB694B"/>
    <w:rsid w:val="00AB742F"/>
    <w:rsid w:val="00AB791B"/>
    <w:rsid w:val="00AC0CE3"/>
    <w:rsid w:val="00AC3414"/>
    <w:rsid w:val="00AC3556"/>
    <w:rsid w:val="00AC3C33"/>
    <w:rsid w:val="00AC3DE0"/>
    <w:rsid w:val="00AC568D"/>
    <w:rsid w:val="00AC678C"/>
    <w:rsid w:val="00AC6C5A"/>
    <w:rsid w:val="00AD0E25"/>
    <w:rsid w:val="00AD188B"/>
    <w:rsid w:val="00AD370C"/>
    <w:rsid w:val="00AD4DA7"/>
    <w:rsid w:val="00AD53AE"/>
    <w:rsid w:val="00AD6EBE"/>
    <w:rsid w:val="00AE1BEA"/>
    <w:rsid w:val="00AE1FA4"/>
    <w:rsid w:val="00AE5D9E"/>
    <w:rsid w:val="00AE608B"/>
    <w:rsid w:val="00AF32C6"/>
    <w:rsid w:val="00AF3D81"/>
    <w:rsid w:val="00AF4EE3"/>
    <w:rsid w:val="00AF54FA"/>
    <w:rsid w:val="00AF5C01"/>
    <w:rsid w:val="00AF5D44"/>
    <w:rsid w:val="00AF65F6"/>
    <w:rsid w:val="00AF71DD"/>
    <w:rsid w:val="00B010E6"/>
    <w:rsid w:val="00B027C8"/>
    <w:rsid w:val="00B04FE6"/>
    <w:rsid w:val="00B0571B"/>
    <w:rsid w:val="00B05747"/>
    <w:rsid w:val="00B07D52"/>
    <w:rsid w:val="00B1204D"/>
    <w:rsid w:val="00B13E5A"/>
    <w:rsid w:val="00B16A27"/>
    <w:rsid w:val="00B17053"/>
    <w:rsid w:val="00B1774F"/>
    <w:rsid w:val="00B17B22"/>
    <w:rsid w:val="00B20254"/>
    <w:rsid w:val="00B21945"/>
    <w:rsid w:val="00B23F2C"/>
    <w:rsid w:val="00B25B73"/>
    <w:rsid w:val="00B25C9C"/>
    <w:rsid w:val="00B26420"/>
    <w:rsid w:val="00B2774A"/>
    <w:rsid w:val="00B30687"/>
    <w:rsid w:val="00B34E4C"/>
    <w:rsid w:val="00B37513"/>
    <w:rsid w:val="00B40283"/>
    <w:rsid w:val="00B41841"/>
    <w:rsid w:val="00B44F7B"/>
    <w:rsid w:val="00B464F2"/>
    <w:rsid w:val="00B50C51"/>
    <w:rsid w:val="00B52DC9"/>
    <w:rsid w:val="00B52F02"/>
    <w:rsid w:val="00B54838"/>
    <w:rsid w:val="00B558D3"/>
    <w:rsid w:val="00B57C43"/>
    <w:rsid w:val="00B603D0"/>
    <w:rsid w:val="00B63D8C"/>
    <w:rsid w:val="00B655C1"/>
    <w:rsid w:val="00B655DB"/>
    <w:rsid w:val="00B6606A"/>
    <w:rsid w:val="00B66CC7"/>
    <w:rsid w:val="00B708DC"/>
    <w:rsid w:val="00B70D46"/>
    <w:rsid w:val="00B74259"/>
    <w:rsid w:val="00B7564C"/>
    <w:rsid w:val="00B75AF8"/>
    <w:rsid w:val="00B771B5"/>
    <w:rsid w:val="00B81757"/>
    <w:rsid w:val="00B820BA"/>
    <w:rsid w:val="00B82382"/>
    <w:rsid w:val="00B853E9"/>
    <w:rsid w:val="00B87E0B"/>
    <w:rsid w:val="00B910F2"/>
    <w:rsid w:val="00B917C1"/>
    <w:rsid w:val="00B931C6"/>
    <w:rsid w:val="00B94A5B"/>
    <w:rsid w:val="00B97208"/>
    <w:rsid w:val="00B97F2D"/>
    <w:rsid w:val="00BA2030"/>
    <w:rsid w:val="00BA225E"/>
    <w:rsid w:val="00BA230F"/>
    <w:rsid w:val="00BA64D9"/>
    <w:rsid w:val="00BB55FB"/>
    <w:rsid w:val="00BC0E01"/>
    <w:rsid w:val="00BC1012"/>
    <w:rsid w:val="00BC224B"/>
    <w:rsid w:val="00BC35F8"/>
    <w:rsid w:val="00BC3AC8"/>
    <w:rsid w:val="00BC46E4"/>
    <w:rsid w:val="00BC541D"/>
    <w:rsid w:val="00BC54C4"/>
    <w:rsid w:val="00BC558F"/>
    <w:rsid w:val="00BC5872"/>
    <w:rsid w:val="00BC648A"/>
    <w:rsid w:val="00BD090C"/>
    <w:rsid w:val="00BD195A"/>
    <w:rsid w:val="00BD25B2"/>
    <w:rsid w:val="00BD2F66"/>
    <w:rsid w:val="00BD3593"/>
    <w:rsid w:val="00BD3731"/>
    <w:rsid w:val="00BD39DF"/>
    <w:rsid w:val="00BD3E4D"/>
    <w:rsid w:val="00BD42C3"/>
    <w:rsid w:val="00BE111F"/>
    <w:rsid w:val="00BE22B4"/>
    <w:rsid w:val="00BE33E1"/>
    <w:rsid w:val="00BE570D"/>
    <w:rsid w:val="00BF170E"/>
    <w:rsid w:val="00BF3A2F"/>
    <w:rsid w:val="00BF4104"/>
    <w:rsid w:val="00BF442B"/>
    <w:rsid w:val="00BF56A9"/>
    <w:rsid w:val="00BF716B"/>
    <w:rsid w:val="00BF7998"/>
    <w:rsid w:val="00BF7999"/>
    <w:rsid w:val="00C042DE"/>
    <w:rsid w:val="00C046E1"/>
    <w:rsid w:val="00C06531"/>
    <w:rsid w:val="00C06D29"/>
    <w:rsid w:val="00C07412"/>
    <w:rsid w:val="00C103A2"/>
    <w:rsid w:val="00C10511"/>
    <w:rsid w:val="00C11FB8"/>
    <w:rsid w:val="00C127FF"/>
    <w:rsid w:val="00C1299E"/>
    <w:rsid w:val="00C17822"/>
    <w:rsid w:val="00C2190E"/>
    <w:rsid w:val="00C25D8A"/>
    <w:rsid w:val="00C3156C"/>
    <w:rsid w:val="00C3183D"/>
    <w:rsid w:val="00C32CA8"/>
    <w:rsid w:val="00C34161"/>
    <w:rsid w:val="00C348D8"/>
    <w:rsid w:val="00C34F03"/>
    <w:rsid w:val="00C35F16"/>
    <w:rsid w:val="00C36734"/>
    <w:rsid w:val="00C36F59"/>
    <w:rsid w:val="00C37450"/>
    <w:rsid w:val="00C406C4"/>
    <w:rsid w:val="00C43964"/>
    <w:rsid w:val="00C439A5"/>
    <w:rsid w:val="00C447D0"/>
    <w:rsid w:val="00C454B9"/>
    <w:rsid w:val="00C464E5"/>
    <w:rsid w:val="00C46A44"/>
    <w:rsid w:val="00C4737A"/>
    <w:rsid w:val="00C476BA"/>
    <w:rsid w:val="00C47F5D"/>
    <w:rsid w:val="00C50C3C"/>
    <w:rsid w:val="00C5212D"/>
    <w:rsid w:val="00C52D52"/>
    <w:rsid w:val="00C53227"/>
    <w:rsid w:val="00C545DB"/>
    <w:rsid w:val="00C54809"/>
    <w:rsid w:val="00C54EDA"/>
    <w:rsid w:val="00C54FAB"/>
    <w:rsid w:val="00C60B5B"/>
    <w:rsid w:val="00C6140A"/>
    <w:rsid w:val="00C6141D"/>
    <w:rsid w:val="00C62363"/>
    <w:rsid w:val="00C645D8"/>
    <w:rsid w:val="00C649B7"/>
    <w:rsid w:val="00C66E7D"/>
    <w:rsid w:val="00C72453"/>
    <w:rsid w:val="00C7326C"/>
    <w:rsid w:val="00C748F3"/>
    <w:rsid w:val="00C74B61"/>
    <w:rsid w:val="00C7788F"/>
    <w:rsid w:val="00C82274"/>
    <w:rsid w:val="00C822F8"/>
    <w:rsid w:val="00C84B4D"/>
    <w:rsid w:val="00C85E6B"/>
    <w:rsid w:val="00C8678E"/>
    <w:rsid w:val="00C86D72"/>
    <w:rsid w:val="00C87C55"/>
    <w:rsid w:val="00C97659"/>
    <w:rsid w:val="00C97775"/>
    <w:rsid w:val="00C97CC6"/>
    <w:rsid w:val="00CA0C7C"/>
    <w:rsid w:val="00CA3AA5"/>
    <w:rsid w:val="00CA46A4"/>
    <w:rsid w:val="00CB0B97"/>
    <w:rsid w:val="00CB127C"/>
    <w:rsid w:val="00CB18AE"/>
    <w:rsid w:val="00CB1C4C"/>
    <w:rsid w:val="00CB2C7F"/>
    <w:rsid w:val="00CB3674"/>
    <w:rsid w:val="00CB6B25"/>
    <w:rsid w:val="00CC13CF"/>
    <w:rsid w:val="00CC2B22"/>
    <w:rsid w:val="00CC373B"/>
    <w:rsid w:val="00CC3872"/>
    <w:rsid w:val="00CC46A8"/>
    <w:rsid w:val="00CC6C34"/>
    <w:rsid w:val="00CC74A3"/>
    <w:rsid w:val="00CC7513"/>
    <w:rsid w:val="00CC77F9"/>
    <w:rsid w:val="00CC7FC4"/>
    <w:rsid w:val="00CD0A02"/>
    <w:rsid w:val="00CD2424"/>
    <w:rsid w:val="00CD6819"/>
    <w:rsid w:val="00CE00AE"/>
    <w:rsid w:val="00CE173C"/>
    <w:rsid w:val="00CE4362"/>
    <w:rsid w:val="00CE60A6"/>
    <w:rsid w:val="00CE79DE"/>
    <w:rsid w:val="00CE7A82"/>
    <w:rsid w:val="00CF0781"/>
    <w:rsid w:val="00CF0819"/>
    <w:rsid w:val="00CF0C71"/>
    <w:rsid w:val="00CF12B6"/>
    <w:rsid w:val="00CF459D"/>
    <w:rsid w:val="00CF4E1A"/>
    <w:rsid w:val="00CF665D"/>
    <w:rsid w:val="00D001F2"/>
    <w:rsid w:val="00D00BBB"/>
    <w:rsid w:val="00D03E56"/>
    <w:rsid w:val="00D06D24"/>
    <w:rsid w:val="00D070D1"/>
    <w:rsid w:val="00D130F8"/>
    <w:rsid w:val="00D13502"/>
    <w:rsid w:val="00D17106"/>
    <w:rsid w:val="00D17388"/>
    <w:rsid w:val="00D17652"/>
    <w:rsid w:val="00D17AA5"/>
    <w:rsid w:val="00D208E4"/>
    <w:rsid w:val="00D20D77"/>
    <w:rsid w:val="00D210B1"/>
    <w:rsid w:val="00D225FD"/>
    <w:rsid w:val="00D251FF"/>
    <w:rsid w:val="00D256A6"/>
    <w:rsid w:val="00D256C1"/>
    <w:rsid w:val="00D25A68"/>
    <w:rsid w:val="00D270FF"/>
    <w:rsid w:val="00D2740A"/>
    <w:rsid w:val="00D32980"/>
    <w:rsid w:val="00D32B03"/>
    <w:rsid w:val="00D33708"/>
    <w:rsid w:val="00D34F5D"/>
    <w:rsid w:val="00D3543F"/>
    <w:rsid w:val="00D36BE9"/>
    <w:rsid w:val="00D424E1"/>
    <w:rsid w:val="00D42E04"/>
    <w:rsid w:val="00D43F43"/>
    <w:rsid w:val="00D45FA1"/>
    <w:rsid w:val="00D525DF"/>
    <w:rsid w:val="00D5594F"/>
    <w:rsid w:val="00D567FD"/>
    <w:rsid w:val="00D56BE6"/>
    <w:rsid w:val="00D578F1"/>
    <w:rsid w:val="00D60628"/>
    <w:rsid w:val="00D607FD"/>
    <w:rsid w:val="00D6133B"/>
    <w:rsid w:val="00D61979"/>
    <w:rsid w:val="00D636CB"/>
    <w:rsid w:val="00D63A85"/>
    <w:rsid w:val="00D641AA"/>
    <w:rsid w:val="00D7168A"/>
    <w:rsid w:val="00D71CE9"/>
    <w:rsid w:val="00D72107"/>
    <w:rsid w:val="00D74C70"/>
    <w:rsid w:val="00D755E4"/>
    <w:rsid w:val="00D75BCF"/>
    <w:rsid w:val="00D76CBF"/>
    <w:rsid w:val="00D8315F"/>
    <w:rsid w:val="00D8618A"/>
    <w:rsid w:val="00D90E8D"/>
    <w:rsid w:val="00D9153E"/>
    <w:rsid w:val="00D93394"/>
    <w:rsid w:val="00D93D35"/>
    <w:rsid w:val="00D9577B"/>
    <w:rsid w:val="00D96123"/>
    <w:rsid w:val="00DA1627"/>
    <w:rsid w:val="00DA37A0"/>
    <w:rsid w:val="00DA3C1D"/>
    <w:rsid w:val="00DA56A5"/>
    <w:rsid w:val="00DB0C56"/>
    <w:rsid w:val="00DB47DD"/>
    <w:rsid w:val="00DB4FD9"/>
    <w:rsid w:val="00DB5DFC"/>
    <w:rsid w:val="00DC04A0"/>
    <w:rsid w:val="00DC0928"/>
    <w:rsid w:val="00DC3E21"/>
    <w:rsid w:val="00DC4BCF"/>
    <w:rsid w:val="00DC4DA9"/>
    <w:rsid w:val="00DC5884"/>
    <w:rsid w:val="00DD355B"/>
    <w:rsid w:val="00DD3E38"/>
    <w:rsid w:val="00DD4B16"/>
    <w:rsid w:val="00DD781B"/>
    <w:rsid w:val="00DE1587"/>
    <w:rsid w:val="00DE3A9E"/>
    <w:rsid w:val="00DE5262"/>
    <w:rsid w:val="00DE5651"/>
    <w:rsid w:val="00DE5F8C"/>
    <w:rsid w:val="00DE631D"/>
    <w:rsid w:val="00DF178E"/>
    <w:rsid w:val="00DF2F0F"/>
    <w:rsid w:val="00DF36B0"/>
    <w:rsid w:val="00DF555A"/>
    <w:rsid w:val="00DF58CF"/>
    <w:rsid w:val="00DF5DD6"/>
    <w:rsid w:val="00DF60B0"/>
    <w:rsid w:val="00DF7B16"/>
    <w:rsid w:val="00DF7D42"/>
    <w:rsid w:val="00E03324"/>
    <w:rsid w:val="00E03B1B"/>
    <w:rsid w:val="00E04CE4"/>
    <w:rsid w:val="00E04F1A"/>
    <w:rsid w:val="00E05643"/>
    <w:rsid w:val="00E05707"/>
    <w:rsid w:val="00E11EB6"/>
    <w:rsid w:val="00E126A2"/>
    <w:rsid w:val="00E13DC7"/>
    <w:rsid w:val="00E142BA"/>
    <w:rsid w:val="00E1536B"/>
    <w:rsid w:val="00E20302"/>
    <w:rsid w:val="00E27C1B"/>
    <w:rsid w:val="00E30A1B"/>
    <w:rsid w:val="00E311ED"/>
    <w:rsid w:val="00E317C8"/>
    <w:rsid w:val="00E31A48"/>
    <w:rsid w:val="00E41CB3"/>
    <w:rsid w:val="00E46365"/>
    <w:rsid w:val="00E4736A"/>
    <w:rsid w:val="00E47A73"/>
    <w:rsid w:val="00E51DA3"/>
    <w:rsid w:val="00E53269"/>
    <w:rsid w:val="00E53F29"/>
    <w:rsid w:val="00E54CEC"/>
    <w:rsid w:val="00E55602"/>
    <w:rsid w:val="00E566A7"/>
    <w:rsid w:val="00E569B1"/>
    <w:rsid w:val="00E56E69"/>
    <w:rsid w:val="00E5707D"/>
    <w:rsid w:val="00E57386"/>
    <w:rsid w:val="00E57543"/>
    <w:rsid w:val="00E60D75"/>
    <w:rsid w:val="00E6228C"/>
    <w:rsid w:val="00E630DB"/>
    <w:rsid w:val="00E63CB4"/>
    <w:rsid w:val="00E63DF4"/>
    <w:rsid w:val="00E64359"/>
    <w:rsid w:val="00E644CB"/>
    <w:rsid w:val="00E65BE1"/>
    <w:rsid w:val="00E67289"/>
    <w:rsid w:val="00E6745E"/>
    <w:rsid w:val="00E700F7"/>
    <w:rsid w:val="00E71874"/>
    <w:rsid w:val="00E72016"/>
    <w:rsid w:val="00E7254B"/>
    <w:rsid w:val="00E72BE3"/>
    <w:rsid w:val="00E74062"/>
    <w:rsid w:val="00E75253"/>
    <w:rsid w:val="00E772DF"/>
    <w:rsid w:val="00E77C89"/>
    <w:rsid w:val="00E800FE"/>
    <w:rsid w:val="00E805BB"/>
    <w:rsid w:val="00E8138E"/>
    <w:rsid w:val="00E82378"/>
    <w:rsid w:val="00E83348"/>
    <w:rsid w:val="00E86C0D"/>
    <w:rsid w:val="00E87454"/>
    <w:rsid w:val="00E874BC"/>
    <w:rsid w:val="00E87CD4"/>
    <w:rsid w:val="00E87DC7"/>
    <w:rsid w:val="00E93FF5"/>
    <w:rsid w:val="00E954F3"/>
    <w:rsid w:val="00E97929"/>
    <w:rsid w:val="00EA05EC"/>
    <w:rsid w:val="00EA45B1"/>
    <w:rsid w:val="00EA5C56"/>
    <w:rsid w:val="00EA5FC3"/>
    <w:rsid w:val="00EA7AB8"/>
    <w:rsid w:val="00EB28EB"/>
    <w:rsid w:val="00EB2FB4"/>
    <w:rsid w:val="00EB4A5E"/>
    <w:rsid w:val="00EB627E"/>
    <w:rsid w:val="00EB66EF"/>
    <w:rsid w:val="00EB6901"/>
    <w:rsid w:val="00EB6BC9"/>
    <w:rsid w:val="00EB6D0F"/>
    <w:rsid w:val="00EC10C0"/>
    <w:rsid w:val="00EC1542"/>
    <w:rsid w:val="00EC1C6A"/>
    <w:rsid w:val="00EC619D"/>
    <w:rsid w:val="00EC684B"/>
    <w:rsid w:val="00ED020A"/>
    <w:rsid w:val="00ED1B67"/>
    <w:rsid w:val="00ED2202"/>
    <w:rsid w:val="00ED3CAE"/>
    <w:rsid w:val="00ED3D2A"/>
    <w:rsid w:val="00ED495C"/>
    <w:rsid w:val="00ED4DF0"/>
    <w:rsid w:val="00EE2886"/>
    <w:rsid w:val="00EE48F5"/>
    <w:rsid w:val="00EE746E"/>
    <w:rsid w:val="00EF1E8B"/>
    <w:rsid w:val="00EF5D0B"/>
    <w:rsid w:val="00EF6E98"/>
    <w:rsid w:val="00F0188E"/>
    <w:rsid w:val="00F01D7A"/>
    <w:rsid w:val="00F03F40"/>
    <w:rsid w:val="00F07F6E"/>
    <w:rsid w:val="00F1014F"/>
    <w:rsid w:val="00F10164"/>
    <w:rsid w:val="00F1218C"/>
    <w:rsid w:val="00F135C7"/>
    <w:rsid w:val="00F160EF"/>
    <w:rsid w:val="00F2111A"/>
    <w:rsid w:val="00F22667"/>
    <w:rsid w:val="00F228FF"/>
    <w:rsid w:val="00F23772"/>
    <w:rsid w:val="00F23DFD"/>
    <w:rsid w:val="00F2659F"/>
    <w:rsid w:val="00F2718D"/>
    <w:rsid w:val="00F27949"/>
    <w:rsid w:val="00F315BD"/>
    <w:rsid w:val="00F328E2"/>
    <w:rsid w:val="00F338AF"/>
    <w:rsid w:val="00F339C7"/>
    <w:rsid w:val="00F3429C"/>
    <w:rsid w:val="00F34835"/>
    <w:rsid w:val="00F35631"/>
    <w:rsid w:val="00F37BF1"/>
    <w:rsid w:val="00F433D4"/>
    <w:rsid w:val="00F44910"/>
    <w:rsid w:val="00F467AA"/>
    <w:rsid w:val="00F47189"/>
    <w:rsid w:val="00F471E9"/>
    <w:rsid w:val="00F47352"/>
    <w:rsid w:val="00F47C55"/>
    <w:rsid w:val="00F47E8D"/>
    <w:rsid w:val="00F50D05"/>
    <w:rsid w:val="00F514A9"/>
    <w:rsid w:val="00F51805"/>
    <w:rsid w:val="00F5494E"/>
    <w:rsid w:val="00F56CC5"/>
    <w:rsid w:val="00F57775"/>
    <w:rsid w:val="00F619F6"/>
    <w:rsid w:val="00F641F7"/>
    <w:rsid w:val="00F64F07"/>
    <w:rsid w:val="00F65B60"/>
    <w:rsid w:val="00F65ED6"/>
    <w:rsid w:val="00F665D1"/>
    <w:rsid w:val="00F72751"/>
    <w:rsid w:val="00F735FD"/>
    <w:rsid w:val="00F73CD2"/>
    <w:rsid w:val="00F7437D"/>
    <w:rsid w:val="00F75AD3"/>
    <w:rsid w:val="00F804B3"/>
    <w:rsid w:val="00F8058E"/>
    <w:rsid w:val="00F805CF"/>
    <w:rsid w:val="00F82558"/>
    <w:rsid w:val="00F82671"/>
    <w:rsid w:val="00F83110"/>
    <w:rsid w:val="00F84AEB"/>
    <w:rsid w:val="00F8678F"/>
    <w:rsid w:val="00F86C19"/>
    <w:rsid w:val="00F87D0A"/>
    <w:rsid w:val="00F92829"/>
    <w:rsid w:val="00F94014"/>
    <w:rsid w:val="00F941D2"/>
    <w:rsid w:val="00F95100"/>
    <w:rsid w:val="00F969AE"/>
    <w:rsid w:val="00F97A79"/>
    <w:rsid w:val="00F97E0E"/>
    <w:rsid w:val="00FA140D"/>
    <w:rsid w:val="00FA15A3"/>
    <w:rsid w:val="00FA1775"/>
    <w:rsid w:val="00FA19AB"/>
    <w:rsid w:val="00FA1E48"/>
    <w:rsid w:val="00FA6098"/>
    <w:rsid w:val="00FA6A01"/>
    <w:rsid w:val="00FA6CC8"/>
    <w:rsid w:val="00FA796E"/>
    <w:rsid w:val="00FB1BCF"/>
    <w:rsid w:val="00FB45F3"/>
    <w:rsid w:val="00FB4B5D"/>
    <w:rsid w:val="00FB5D22"/>
    <w:rsid w:val="00FB68F3"/>
    <w:rsid w:val="00FB6AD5"/>
    <w:rsid w:val="00FB6DEA"/>
    <w:rsid w:val="00FB7117"/>
    <w:rsid w:val="00FB7C51"/>
    <w:rsid w:val="00FB7FA4"/>
    <w:rsid w:val="00FC112A"/>
    <w:rsid w:val="00FC26C8"/>
    <w:rsid w:val="00FC2A24"/>
    <w:rsid w:val="00FC59C0"/>
    <w:rsid w:val="00FC64E8"/>
    <w:rsid w:val="00FD0314"/>
    <w:rsid w:val="00FE13B9"/>
    <w:rsid w:val="00FE2771"/>
    <w:rsid w:val="00FE280E"/>
    <w:rsid w:val="00FE3199"/>
    <w:rsid w:val="00FE37BA"/>
    <w:rsid w:val="00FE388A"/>
    <w:rsid w:val="00FE6548"/>
    <w:rsid w:val="00FF28B6"/>
    <w:rsid w:val="00FF57F0"/>
    <w:rsid w:val="00FF7653"/>
    <w:rsid w:val="01F66324"/>
    <w:rsid w:val="053777CA"/>
    <w:rsid w:val="07651264"/>
    <w:rsid w:val="106D6EA1"/>
    <w:rsid w:val="21C724EA"/>
    <w:rsid w:val="258A7432"/>
    <w:rsid w:val="27F03989"/>
    <w:rsid w:val="303A4A48"/>
    <w:rsid w:val="31A1692B"/>
    <w:rsid w:val="325422E6"/>
    <w:rsid w:val="356E3CA4"/>
    <w:rsid w:val="37145BCB"/>
    <w:rsid w:val="391924E9"/>
    <w:rsid w:val="3CFD44AB"/>
    <w:rsid w:val="45250804"/>
    <w:rsid w:val="4E065321"/>
    <w:rsid w:val="53DF728B"/>
    <w:rsid w:val="63945B6E"/>
    <w:rsid w:val="6949729F"/>
    <w:rsid w:val="7DAE08D0"/>
    <w:rsid w:val="7F2B2B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unhideWhenUsed/>
    <w:uiPriority w:val="99"/>
    <w:rPr>
      <w:color w:val="0563C1"/>
      <w:u w:val="single"/>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character" w:customStyle="1" w:styleId="15">
    <w:name w:val="段 Char"/>
    <w:link w:val="16"/>
    <w:uiPriority w:val="0"/>
    <w:rPr>
      <w:rFonts w:ascii="宋体"/>
      <w:sz w:val="21"/>
    </w:rPr>
  </w:style>
  <w:style w:type="paragraph" w:customStyle="1" w:styleId="16">
    <w:name w:val="段"/>
    <w:link w:val="1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8">
    <w:name w:val="五级条标题"/>
    <w:basedOn w:val="19"/>
    <w:next w:val="1"/>
    <w:qFormat/>
    <w:uiPriority w:val="0"/>
    <w:pPr>
      <w:numPr>
        <w:ilvl w:val="5"/>
      </w:numPr>
      <w:outlineLvl w:val="6"/>
    </w:pPr>
  </w:style>
  <w:style w:type="paragraph" w:customStyle="1" w:styleId="19">
    <w:name w:val="四级条标题"/>
    <w:basedOn w:val="20"/>
    <w:next w:val="1"/>
    <w:qFormat/>
    <w:uiPriority w:val="0"/>
    <w:pPr>
      <w:numPr>
        <w:ilvl w:val="4"/>
      </w:numPr>
      <w:outlineLvl w:val="5"/>
    </w:pPr>
  </w:style>
  <w:style w:type="paragraph" w:customStyle="1" w:styleId="20">
    <w:name w:val="三级条标题"/>
    <w:basedOn w:val="21"/>
    <w:next w:val="1"/>
    <w:qFormat/>
    <w:uiPriority w:val="0"/>
    <w:pPr>
      <w:numPr>
        <w:ilvl w:val="3"/>
      </w:numPr>
      <w:outlineLvl w:val="4"/>
    </w:pPr>
  </w:style>
  <w:style w:type="paragraph" w:customStyle="1" w:styleId="21">
    <w:name w:val="二级条标题"/>
    <w:basedOn w:val="22"/>
    <w:next w:val="1"/>
    <w:qFormat/>
    <w:uiPriority w:val="0"/>
    <w:pPr>
      <w:numPr>
        <w:ilvl w:val="2"/>
      </w:numPr>
      <w:spacing w:before="50" w:after="50"/>
      <w:outlineLvl w:val="3"/>
    </w:pPr>
  </w:style>
  <w:style w:type="paragraph" w:customStyle="1" w:styleId="22">
    <w:name w:val="一级条标题"/>
    <w:next w:val="1"/>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标准文件_段"/>
    <w:link w:val="2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4">
    <w:name w:val="标准文件_段 Char"/>
    <w:link w:val="23"/>
    <w:uiPriority w:val="0"/>
    <w:rPr>
      <w:rFonts w:ascii="宋体"/>
      <w:sz w:val="21"/>
    </w:rPr>
  </w:style>
  <w:style w:type="paragraph" w:customStyle="1" w:styleId="25">
    <w:name w:val="标准文件_二级条标题"/>
    <w:next w:val="23"/>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26">
    <w:name w:val="标准文件_三级条标题"/>
    <w:basedOn w:val="25"/>
    <w:next w:val="23"/>
    <w:qFormat/>
    <w:uiPriority w:val="0"/>
    <w:pPr>
      <w:widowControl/>
      <w:numPr>
        <w:ilvl w:val="4"/>
      </w:numPr>
      <w:outlineLvl w:val="3"/>
    </w:pPr>
  </w:style>
  <w:style w:type="paragraph" w:customStyle="1" w:styleId="27">
    <w:name w:val="标准文件_四级条标题"/>
    <w:next w:val="23"/>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28">
    <w:name w:val="标准文件_五级条标题"/>
    <w:next w:val="23"/>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29">
    <w:name w:val="标准文件_章标题"/>
    <w:next w:val="23"/>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0">
    <w:name w:val="标准文件_一级条标题"/>
    <w:basedOn w:val="29"/>
    <w:next w:val="23"/>
    <w:qFormat/>
    <w:uiPriority w:val="0"/>
    <w:pPr>
      <w:numPr>
        <w:ilvl w:val="2"/>
      </w:numPr>
      <w:spacing w:beforeLines="50" w:afterLines="50"/>
      <w:outlineLvl w:val="1"/>
    </w:pPr>
  </w:style>
  <w:style w:type="paragraph" w:customStyle="1" w:styleId="3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styleId="32">
    <w:name w:val="List Paragraph"/>
    <w:basedOn w:val="1"/>
    <w:qFormat/>
    <w:uiPriority w:val="99"/>
    <w:pPr>
      <w:ind w:firstLine="420" w:firstLineChars="200"/>
    </w:pPr>
  </w:style>
  <w:style w:type="character" w:styleId="33">
    <w:name w:val="Placeholder Text"/>
    <w:basedOn w:val="10"/>
    <w:unhideWhenUsed/>
    <w:qFormat/>
    <w:uiPriority w:val="99"/>
    <w:rPr>
      <w:color w:val="80808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microsoft.com/office/2006/relationships/keyMapCustomizations" Target="customizations.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9" textRotate="1"/>
    <customShpInfo spid="_x0000_s4098" textRotate="1"/>
    <customShpInfo spid="_x0000_s4101" textRotate="1"/>
    <customShpInfo spid="_x0000_s4100" textRotate="1"/>
    <customShpInfo spid="_x0000_s4103" textRotate="1"/>
    <customShpInfo spid="_x0000_s4104" textRotate="1"/>
    <customShpInfo spid="_x0000_s4102"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58CB48-3F7F-403D-8149-82D1AA4DFA95}">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7</Pages>
  <Words>4086</Words>
  <Characters>4230</Characters>
  <Lines>35</Lines>
  <Paragraphs>9</Paragraphs>
  <TotalTime>5</TotalTime>
  <ScaleCrop>false</ScaleCrop>
  <LinksUpToDate>false</LinksUpToDate>
  <CharactersWithSpaces>4267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2021-01-10T14:25:00Z</dcterms:created>
  <dc:creator>Administrator</dc:creator>
  <cp:lastModifiedBy>入我心者唯君一人</cp:lastModifiedBy>
  <cp:lastPrinted>2021-11-13T04:44:00Z</cp:lastPrinted>
  <dcterms:modified xsi:type="dcterms:W3CDTF">2022-06-20T02:53:37Z</dcterms:modified>
  <dc:title>编制说明</dc:title>
  <cp:revision>430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828C0805E27545EF8CA6B73B083612B2</vt:lpwstr>
  </property>
</Properties>
</file>